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spacing w:before="135"/>
        <w:ind w:left="3674" w:right="726" w:hanging="3079"/>
        <w:jc w:val="center"/>
        <w:rPr>
          <w:rFonts w:asciiTheme="majorEastAsia" w:hAnsiTheme="majorEastAsia" w:eastAsiaTheme="majorEastAsia"/>
          <w:b/>
          <w:sz w:val="32"/>
          <w:szCs w:val="32"/>
          <w:lang w:eastAsia="zh-CN"/>
        </w:rPr>
      </w:pPr>
      <w:r>
        <w:rPr>
          <w:rFonts w:asciiTheme="majorEastAsia" w:hAnsiTheme="majorEastAsia" w:eastAsiaTheme="majorEastAsia"/>
          <w:b/>
          <w:sz w:val="32"/>
          <w:szCs w:val="32"/>
          <w:lang w:eastAsia="zh-CN"/>
        </w:rPr>
        <w:t>浙</w:t>
      </w:r>
      <w:r>
        <w:rPr>
          <w:rFonts w:hint="eastAsia" w:asciiTheme="majorEastAsia" w:hAnsiTheme="majorEastAsia" w:eastAsiaTheme="majorEastAsia"/>
          <w:b/>
          <w:sz w:val="32"/>
          <w:szCs w:val="32"/>
          <w:lang w:eastAsia="zh-CN"/>
        </w:rPr>
        <w:t>江大学高分子科学与工程学系</w:t>
      </w:r>
    </w:p>
    <w:p>
      <w:pPr>
        <w:pStyle w:val="25"/>
        <w:spacing w:before="135"/>
        <w:ind w:left="3674" w:right="726" w:hanging="3079"/>
        <w:jc w:val="center"/>
        <w:rPr>
          <w:rFonts w:asciiTheme="majorEastAsia" w:hAnsiTheme="majorEastAsia" w:eastAsiaTheme="majorEastAsia"/>
          <w:b/>
          <w:sz w:val="32"/>
          <w:szCs w:val="32"/>
          <w:lang w:eastAsia="zh-CN"/>
        </w:rPr>
      </w:pPr>
      <w:r>
        <w:rPr>
          <w:rFonts w:hint="eastAsia" w:asciiTheme="majorEastAsia" w:hAnsiTheme="majorEastAsia" w:eastAsiaTheme="majorEastAsia"/>
          <w:b/>
          <w:sz w:val="32"/>
          <w:szCs w:val="32"/>
          <w:lang w:eastAsia="zh-CN"/>
        </w:rPr>
        <w:t>本科学生荣誉称号及奖学金评定管理办法</w:t>
      </w:r>
    </w:p>
    <w:p>
      <w:pPr>
        <w:pStyle w:val="25"/>
        <w:spacing w:before="135"/>
        <w:ind w:left="3674" w:right="726" w:hanging="3079"/>
        <w:jc w:val="center"/>
        <w:rPr>
          <w:rFonts w:asciiTheme="majorEastAsia" w:hAnsiTheme="majorEastAsia" w:eastAsiaTheme="majorEastAsia"/>
          <w:b/>
          <w:sz w:val="32"/>
          <w:szCs w:val="32"/>
          <w:lang w:eastAsia="zh-CN"/>
        </w:rPr>
      </w:pPr>
    </w:p>
    <w:p>
      <w:pPr>
        <w:pStyle w:val="13"/>
        <w:spacing w:before="0" w:line="350" w:lineRule="auto"/>
        <w:ind w:left="142" w:right="272" w:firstLine="460" w:firstLineChars="200"/>
        <w:jc w:val="both"/>
        <w:rPr>
          <w:spacing w:val="-10"/>
          <w:sz w:val="24"/>
          <w:szCs w:val="24"/>
          <w:lang w:eastAsia="zh-CN"/>
        </w:rPr>
      </w:pPr>
      <w:r>
        <w:rPr>
          <w:rFonts w:hint="eastAsia"/>
          <w:spacing w:val="-10"/>
          <w:sz w:val="24"/>
          <w:szCs w:val="24"/>
          <w:lang w:eastAsia="zh-CN"/>
        </w:rPr>
        <w:t>为</w:t>
      </w:r>
      <w:r>
        <w:rPr>
          <w:spacing w:val="-10"/>
          <w:sz w:val="24"/>
          <w:szCs w:val="24"/>
          <w:lang w:eastAsia="zh-CN"/>
        </w:rPr>
        <w:t>落实立德树人根本任务，表彰先进、树立典型，引领学生坚定理想信念，自觉</w:t>
      </w:r>
      <w:r>
        <w:rPr>
          <w:rFonts w:hint="eastAsia"/>
          <w:spacing w:val="-10"/>
          <w:sz w:val="24"/>
          <w:szCs w:val="24"/>
          <w:lang w:eastAsia="zh-CN"/>
        </w:rPr>
        <w:t>践行</w:t>
      </w:r>
      <w:r>
        <w:rPr>
          <w:spacing w:val="-12"/>
          <w:sz w:val="24"/>
          <w:szCs w:val="24"/>
          <w:lang w:eastAsia="zh-CN"/>
        </w:rPr>
        <w:t>社会主义核心价值观，激励学生刻苦学</w:t>
      </w:r>
      <w:r>
        <w:rPr>
          <w:spacing w:val="-14"/>
          <w:sz w:val="24"/>
          <w:szCs w:val="24"/>
          <w:lang w:eastAsia="zh-CN"/>
        </w:rPr>
        <w:t>习、勇于探索、积极实践，成为德才兼备、全面发展的中国特色</w:t>
      </w:r>
      <w:r>
        <w:rPr>
          <w:spacing w:val="-9"/>
          <w:sz w:val="24"/>
          <w:szCs w:val="24"/>
          <w:lang w:eastAsia="zh-CN"/>
        </w:rPr>
        <w:t>社会主义合格建设者和可靠接班人，根据</w:t>
      </w:r>
      <w:r>
        <w:rPr>
          <w:spacing w:val="-15"/>
          <w:sz w:val="24"/>
          <w:szCs w:val="24"/>
          <w:lang w:eastAsia="zh-CN"/>
        </w:rPr>
        <w:t>《浙</w:t>
      </w:r>
      <w:r>
        <w:rPr>
          <w:spacing w:val="-14"/>
          <w:sz w:val="24"/>
          <w:szCs w:val="24"/>
          <w:lang w:eastAsia="zh-CN"/>
        </w:rPr>
        <w:t>江大学本科学生评价实施办法》</w:t>
      </w:r>
      <w:r>
        <w:rPr>
          <w:spacing w:val="-1"/>
          <w:sz w:val="24"/>
          <w:szCs w:val="24"/>
          <w:lang w:eastAsia="zh-CN"/>
        </w:rPr>
        <w:t>（浙大发本〔2017〕</w:t>
      </w:r>
      <w:r>
        <w:rPr>
          <w:rFonts w:ascii="Times New Roman" w:eastAsia="Times New Roman"/>
          <w:spacing w:val="-13"/>
          <w:sz w:val="24"/>
          <w:szCs w:val="24"/>
          <w:lang w:eastAsia="zh-CN"/>
        </w:rPr>
        <w:t>1</w:t>
      </w:r>
      <w:r>
        <w:rPr>
          <w:rFonts w:ascii="Times New Roman" w:eastAsia="Times New Roman"/>
          <w:spacing w:val="-1"/>
          <w:sz w:val="24"/>
          <w:szCs w:val="24"/>
          <w:lang w:eastAsia="zh-CN"/>
        </w:rPr>
        <w:t>1</w:t>
      </w:r>
      <w:r>
        <w:rPr>
          <w:rFonts w:ascii="Times New Roman" w:eastAsia="Times New Roman"/>
          <w:sz w:val="24"/>
          <w:szCs w:val="24"/>
          <w:lang w:eastAsia="zh-CN"/>
        </w:rPr>
        <w:t xml:space="preserve">7 </w:t>
      </w:r>
      <w:r>
        <w:rPr>
          <w:sz w:val="24"/>
          <w:szCs w:val="24"/>
          <w:lang w:eastAsia="zh-CN"/>
        </w:rPr>
        <w:t>号</w:t>
      </w:r>
      <w:r>
        <w:rPr>
          <w:spacing w:val="-160"/>
          <w:sz w:val="24"/>
          <w:szCs w:val="24"/>
          <w:lang w:eastAsia="zh-CN"/>
        </w:rPr>
        <w:t>）</w:t>
      </w:r>
      <w:r>
        <w:rPr>
          <w:rFonts w:hint="eastAsia"/>
          <w:spacing w:val="-10"/>
          <w:sz w:val="24"/>
          <w:szCs w:val="24"/>
          <w:lang w:eastAsia="zh-CN"/>
        </w:rPr>
        <w:t>及</w:t>
      </w:r>
      <w:r>
        <w:rPr>
          <w:spacing w:val="-10"/>
          <w:sz w:val="24"/>
          <w:szCs w:val="24"/>
          <w:lang w:eastAsia="zh-CN"/>
        </w:rPr>
        <w:t>《浙江大学本科学生荣誉称号及奖学金评定管理办法》</w:t>
      </w:r>
      <w:r>
        <w:rPr>
          <w:rFonts w:hint="eastAsia"/>
          <w:sz w:val="24"/>
          <w:szCs w:val="24"/>
          <w:lang w:eastAsia="zh-CN"/>
        </w:rPr>
        <w:t>（浙大发本</w:t>
      </w:r>
      <w:r>
        <w:rPr>
          <w:sz w:val="24"/>
          <w:szCs w:val="24"/>
          <w:lang w:eastAsia="zh-CN"/>
        </w:rPr>
        <w:t>〔2017〕</w:t>
      </w:r>
      <w:r>
        <w:rPr>
          <w:rFonts w:ascii="Times New Roman" w:eastAsia="Times New Roman"/>
          <w:spacing w:val="-13"/>
          <w:sz w:val="24"/>
          <w:szCs w:val="24"/>
          <w:lang w:eastAsia="zh-CN"/>
        </w:rPr>
        <w:t>1</w:t>
      </w:r>
      <w:r>
        <w:rPr>
          <w:rFonts w:ascii="Times New Roman" w:eastAsia="Times New Roman"/>
          <w:spacing w:val="-1"/>
          <w:sz w:val="24"/>
          <w:szCs w:val="24"/>
          <w:lang w:eastAsia="zh-CN"/>
        </w:rPr>
        <w:t>1</w:t>
      </w:r>
      <w:r>
        <w:rPr>
          <w:rFonts w:hint="eastAsia" w:ascii="Times New Roman" w:eastAsiaTheme="minorEastAsia"/>
          <w:sz w:val="24"/>
          <w:szCs w:val="24"/>
          <w:lang w:eastAsia="zh-CN"/>
        </w:rPr>
        <w:t>8</w:t>
      </w:r>
      <w:r>
        <w:rPr>
          <w:rFonts w:ascii="Times New Roman" w:eastAsia="Times New Roman"/>
          <w:sz w:val="24"/>
          <w:szCs w:val="24"/>
          <w:lang w:eastAsia="zh-CN"/>
        </w:rPr>
        <w:t xml:space="preserve"> </w:t>
      </w:r>
      <w:r>
        <w:rPr>
          <w:sz w:val="24"/>
          <w:szCs w:val="24"/>
          <w:lang w:eastAsia="zh-CN"/>
        </w:rPr>
        <w:t>号</w:t>
      </w:r>
      <w:r>
        <w:rPr>
          <w:rFonts w:hint="eastAsia"/>
          <w:sz w:val="24"/>
          <w:szCs w:val="24"/>
          <w:lang w:eastAsia="zh-CN"/>
        </w:rPr>
        <w:t>）,</w:t>
      </w:r>
      <w:r>
        <w:rPr>
          <w:rFonts w:hint="default"/>
          <w:spacing w:val="-10"/>
          <w:sz w:val="24"/>
          <w:szCs w:val="24"/>
          <w:lang w:eastAsia="zh-CN"/>
        </w:rPr>
        <w:t>结合高分子</w:t>
      </w:r>
      <w:r>
        <w:rPr>
          <w:rFonts w:hint="default"/>
          <w:spacing w:val="-10"/>
          <w:sz w:val="24"/>
          <w:szCs w:val="24"/>
          <w:lang w:val="en-US" w:eastAsia="zh-CN"/>
        </w:rPr>
        <w:t>科学与工程学</w:t>
      </w:r>
      <w:r>
        <w:rPr>
          <w:rFonts w:hint="default"/>
          <w:spacing w:val="-10"/>
          <w:sz w:val="24"/>
          <w:szCs w:val="24"/>
          <w:lang w:eastAsia="zh-CN"/>
        </w:rPr>
        <w:t>系（</w:t>
      </w:r>
      <w:r>
        <w:rPr>
          <w:rFonts w:hint="default"/>
          <w:spacing w:val="-10"/>
          <w:sz w:val="24"/>
          <w:szCs w:val="24"/>
          <w:lang w:val="en-US" w:eastAsia="zh-CN"/>
        </w:rPr>
        <w:t>以下简称高分子系</w:t>
      </w:r>
      <w:r>
        <w:rPr>
          <w:rFonts w:hint="default"/>
          <w:spacing w:val="-10"/>
          <w:sz w:val="24"/>
          <w:szCs w:val="24"/>
          <w:lang w:eastAsia="zh-CN"/>
        </w:rPr>
        <w:t>）实际，</w:t>
      </w:r>
      <w:r>
        <w:rPr>
          <w:spacing w:val="-10"/>
          <w:sz w:val="24"/>
          <w:szCs w:val="24"/>
          <w:lang w:eastAsia="zh-CN"/>
        </w:rPr>
        <w:t>制定本办法。</w:t>
      </w:r>
    </w:p>
    <w:p>
      <w:pPr>
        <w:pStyle w:val="13"/>
        <w:tabs>
          <w:tab w:val="left" w:pos="1695"/>
          <w:tab w:val="left" w:pos="3434"/>
        </w:tabs>
        <w:spacing w:before="100" w:beforeAutospacing="1" w:after="100" w:afterAutospacing="1" w:line="360" w:lineRule="auto"/>
        <w:jc w:val="center"/>
        <w:rPr>
          <w:rFonts w:ascii="黑体" w:eastAsia="黑体"/>
          <w:b/>
          <w:bCs/>
          <w:sz w:val="24"/>
          <w:szCs w:val="24"/>
          <w:lang w:eastAsia="zh-CN"/>
        </w:rPr>
      </w:pPr>
      <w:r>
        <w:rPr>
          <w:rFonts w:hint="eastAsia" w:ascii="黑体" w:eastAsia="黑体"/>
          <w:b/>
          <w:bCs/>
          <w:sz w:val="24"/>
          <w:szCs w:val="24"/>
          <w:lang w:eastAsia="zh-CN"/>
        </w:rPr>
        <w:t>第一章 评选对象和基本评选条件</w:t>
      </w:r>
    </w:p>
    <w:p>
      <w:pPr>
        <w:pStyle w:val="13"/>
        <w:tabs>
          <w:tab w:val="left" w:pos="3434"/>
        </w:tabs>
        <w:adjustRightInd w:val="0"/>
        <w:snapToGrid w:val="0"/>
        <w:spacing w:before="0" w:after="0" w:line="360" w:lineRule="auto"/>
        <w:ind w:firstLine="480" w:firstLineChars="200"/>
        <w:jc w:val="both"/>
        <w:rPr>
          <w:b/>
          <w:bCs/>
          <w:sz w:val="24"/>
          <w:szCs w:val="24"/>
          <w:lang w:eastAsia="zh-CN"/>
        </w:rPr>
      </w:pPr>
      <w:r>
        <w:rPr>
          <w:rFonts w:hint="eastAsia" w:ascii="黑体" w:eastAsia="黑体"/>
          <w:b/>
          <w:bCs/>
          <w:sz w:val="24"/>
          <w:szCs w:val="24"/>
          <w:lang w:eastAsia="zh-CN"/>
        </w:rPr>
        <w:t>第一条</w:t>
      </w:r>
      <w:r>
        <w:rPr>
          <w:rFonts w:ascii="黑体" w:eastAsia="黑体"/>
          <w:b/>
          <w:bCs/>
          <w:sz w:val="24"/>
          <w:szCs w:val="24"/>
          <w:lang w:eastAsia="zh-CN"/>
        </w:rPr>
        <w:t xml:space="preserve"> </w:t>
      </w:r>
      <w:r>
        <w:rPr>
          <w:rFonts w:hint="eastAsia"/>
          <w:b w:val="0"/>
          <w:bCs w:val="0"/>
          <w:sz w:val="24"/>
          <w:szCs w:val="24"/>
          <w:lang w:eastAsia="zh-CN"/>
        </w:rPr>
        <w:t>参评对象</w:t>
      </w:r>
    </w:p>
    <w:p>
      <w:pPr>
        <w:pStyle w:val="13"/>
        <w:adjustRightInd w:val="0"/>
        <w:snapToGrid w:val="0"/>
        <w:spacing w:before="0" w:after="0" w:line="360" w:lineRule="auto"/>
        <w:ind w:firstLine="480" w:firstLineChars="200"/>
        <w:jc w:val="both"/>
        <w:rPr>
          <w:sz w:val="24"/>
          <w:szCs w:val="24"/>
          <w:lang w:eastAsia="zh-CN"/>
        </w:rPr>
      </w:pPr>
      <w:r>
        <w:rPr>
          <w:sz w:val="24"/>
          <w:szCs w:val="24"/>
          <w:lang w:eastAsia="zh-CN"/>
        </w:rPr>
        <w:t>（一）</w:t>
      </w:r>
      <w:r>
        <w:rPr>
          <w:rFonts w:hint="eastAsia"/>
          <w:sz w:val="24"/>
          <w:szCs w:val="24"/>
          <w:lang w:eastAsia="zh-CN"/>
        </w:rPr>
        <w:t>浙江大学高分子系</w:t>
      </w:r>
      <w:r>
        <w:rPr>
          <w:sz w:val="24"/>
          <w:szCs w:val="24"/>
          <w:lang w:eastAsia="zh-CN"/>
        </w:rPr>
        <w:t>本科生个人荣誉称号评选对象为</w:t>
      </w:r>
      <w:r>
        <w:rPr>
          <w:rFonts w:hint="eastAsia"/>
          <w:sz w:val="24"/>
          <w:szCs w:val="24"/>
          <w:lang w:eastAsia="zh-CN"/>
        </w:rPr>
        <w:t>高分子系</w:t>
      </w:r>
      <w:r>
        <w:rPr>
          <w:sz w:val="24"/>
          <w:szCs w:val="24"/>
          <w:lang w:eastAsia="zh-CN"/>
        </w:rPr>
        <w:t>全日制在校普通本科生，集体荣誉称号评选对象为班级或寝室。</w:t>
      </w:r>
    </w:p>
    <w:p>
      <w:pPr>
        <w:pStyle w:val="13"/>
        <w:adjustRightInd w:val="0"/>
        <w:snapToGrid w:val="0"/>
        <w:spacing w:before="0" w:after="0" w:line="360" w:lineRule="auto"/>
        <w:ind w:firstLine="480" w:firstLineChars="200"/>
        <w:jc w:val="both"/>
        <w:rPr>
          <w:sz w:val="24"/>
          <w:szCs w:val="24"/>
          <w:lang w:eastAsia="zh-CN"/>
        </w:rPr>
      </w:pPr>
      <w:r>
        <w:rPr>
          <w:sz w:val="24"/>
          <w:szCs w:val="24"/>
          <w:lang w:eastAsia="zh-CN"/>
        </w:rPr>
        <w:t>（二）</w:t>
      </w:r>
      <w:r>
        <w:rPr>
          <w:rFonts w:hint="eastAsia"/>
          <w:sz w:val="24"/>
          <w:szCs w:val="24"/>
          <w:lang w:eastAsia="zh-CN"/>
        </w:rPr>
        <w:t>浙江大学高分子系</w:t>
      </w:r>
      <w:r>
        <w:rPr>
          <w:sz w:val="24"/>
          <w:szCs w:val="24"/>
          <w:lang w:eastAsia="zh-CN"/>
        </w:rPr>
        <w:t>本科生奖学金评选对象为全日制在校普通本科生。</w:t>
      </w:r>
    </w:p>
    <w:p>
      <w:pPr>
        <w:pStyle w:val="13"/>
        <w:adjustRightInd w:val="0"/>
        <w:snapToGrid w:val="0"/>
        <w:spacing w:before="0" w:after="0" w:line="360" w:lineRule="auto"/>
        <w:ind w:firstLine="480" w:firstLineChars="200"/>
        <w:jc w:val="both"/>
        <w:rPr>
          <w:b/>
          <w:bCs/>
          <w:sz w:val="24"/>
          <w:szCs w:val="24"/>
          <w:lang w:eastAsia="zh-CN"/>
        </w:rPr>
      </w:pPr>
      <w:r>
        <w:rPr>
          <w:rFonts w:hint="eastAsia" w:ascii="黑体" w:eastAsia="黑体"/>
          <w:b/>
          <w:bCs/>
          <w:sz w:val="24"/>
          <w:szCs w:val="24"/>
          <w:lang w:eastAsia="zh-CN"/>
        </w:rPr>
        <w:t>第二条</w:t>
      </w:r>
      <w:r>
        <w:rPr>
          <w:rFonts w:ascii="黑体" w:eastAsia="黑体"/>
          <w:b/>
          <w:bCs/>
          <w:sz w:val="24"/>
          <w:szCs w:val="24"/>
          <w:lang w:eastAsia="zh-CN"/>
        </w:rPr>
        <w:t xml:space="preserve"> </w:t>
      </w:r>
      <w:r>
        <w:rPr>
          <w:rFonts w:hint="eastAsia"/>
          <w:b w:val="0"/>
          <w:bCs w:val="0"/>
          <w:sz w:val="24"/>
          <w:szCs w:val="24"/>
          <w:lang w:eastAsia="zh-CN"/>
        </w:rPr>
        <w:t>荣誉称号参评基本条件</w:t>
      </w:r>
    </w:p>
    <w:p>
      <w:pPr>
        <w:pStyle w:val="13"/>
        <w:adjustRightInd w:val="0"/>
        <w:snapToGrid w:val="0"/>
        <w:spacing w:before="0" w:after="0" w:line="360" w:lineRule="auto"/>
        <w:ind w:firstLine="480" w:firstLineChars="200"/>
        <w:jc w:val="both"/>
        <w:rPr>
          <w:sz w:val="24"/>
          <w:szCs w:val="24"/>
          <w:lang w:eastAsia="zh-CN"/>
        </w:rPr>
      </w:pPr>
      <w:r>
        <w:rPr>
          <w:rFonts w:hint="eastAsia"/>
          <w:sz w:val="24"/>
          <w:szCs w:val="24"/>
          <w:lang w:eastAsia="zh-CN"/>
        </w:rPr>
        <w:t>（一）</w:t>
      </w:r>
      <w:r>
        <w:rPr>
          <w:sz w:val="24"/>
          <w:szCs w:val="24"/>
          <w:lang w:eastAsia="zh-CN"/>
        </w:rPr>
        <w:t>拥护中国共产党的领导，热爱祖国，坚定中国特色社会主义道路自信、理论自信、制度自信和文化自信，思想政治素质合格；</w:t>
      </w:r>
    </w:p>
    <w:p>
      <w:pPr>
        <w:pStyle w:val="13"/>
        <w:adjustRightInd w:val="0"/>
        <w:snapToGrid w:val="0"/>
        <w:spacing w:before="0" w:after="0" w:line="360" w:lineRule="auto"/>
        <w:ind w:firstLine="480" w:firstLineChars="200"/>
        <w:jc w:val="both"/>
        <w:rPr>
          <w:sz w:val="24"/>
          <w:szCs w:val="24"/>
          <w:lang w:eastAsia="zh-CN"/>
        </w:rPr>
      </w:pPr>
      <w:r>
        <w:rPr>
          <w:rFonts w:hint="eastAsia"/>
          <w:sz w:val="24"/>
          <w:szCs w:val="24"/>
          <w:lang w:eastAsia="zh-CN"/>
        </w:rPr>
        <w:t>（二）</w:t>
      </w:r>
      <w:r>
        <w:rPr>
          <w:sz w:val="24"/>
          <w:szCs w:val="24"/>
          <w:lang w:eastAsia="zh-CN"/>
        </w:rPr>
        <w:t>遵守法律、法规和校纪校规，积极上进；</w:t>
      </w:r>
    </w:p>
    <w:p>
      <w:pPr>
        <w:pStyle w:val="13"/>
        <w:adjustRightInd w:val="0"/>
        <w:snapToGrid w:val="0"/>
        <w:spacing w:before="0" w:after="0" w:line="360" w:lineRule="auto"/>
        <w:ind w:firstLine="480" w:firstLineChars="200"/>
        <w:jc w:val="both"/>
        <w:rPr>
          <w:sz w:val="24"/>
          <w:szCs w:val="24"/>
          <w:lang w:eastAsia="zh-CN"/>
        </w:rPr>
      </w:pPr>
      <w:r>
        <w:rPr>
          <w:rFonts w:hint="eastAsia"/>
          <w:sz w:val="24"/>
          <w:szCs w:val="24"/>
          <w:lang w:eastAsia="zh-CN"/>
        </w:rPr>
        <w:t>（三）</w:t>
      </w:r>
      <w:r>
        <w:rPr>
          <w:sz w:val="24"/>
          <w:szCs w:val="24"/>
          <w:lang w:eastAsia="zh-CN"/>
        </w:rPr>
        <w:t>尊敬师长，勤奋学习，团结同学，关心集体，诚实守信；</w:t>
      </w:r>
    </w:p>
    <w:p>
      <w:pPr>
        <w:pStyle w:val="13"/>
        <w:adjustRightInd w:val="0"/>
        <w:snapToGrid w:val="0"/>
        <w:spacing w:before="0" w:after="0" w:line="360" w:lineRule="auto"/>
        <w:ind w:firstLine="478" w:firstLineChars="200"/>
        <w:jc w:val="both"/>
        <w:rPr>
          <w:sz w:val="24"/>
          <w:szCs w:val="24"/>
          <w:lang w:eastAsia="zh-CN"/>
        </w:rPr>
      </w:pPr>
      <w:r>
        <w:rPr>
          <w:spacing w:val="-1"/>
          <w:sz w:val="24"/>
          <w:szCs w:val="24"/>
          <w:lang w:eastAsia="zh-CN"/>
        </w:rPr>
        <w:t>（四</w:t>
      </w:r>
      <w:r>
        <w:rPr>
          <w:spacing w:val="-160"/>
          <w:sz w:val="24"/>
          <w:szCs w:val="24"/>
          <w:lang w:eastAsia="zh-CN"/>
        </w:rPr>
        <w:t>）</w:t>
      </w:r>
      <w:r>
        <w:rPr>
          <w:sz w:val="24"/>
          <w:szCs w:val="24"/>
          <w:lang w:eastAsia="zh-CN"/>
        </w:rPr>
        <w:t>“体质健康”评价结果须达到合格；</w:t>
      </w:r>
    </w:p>
    <w:p>
      <w:pPr>
        <w:pStyle w:val="13"/>
        <w:adjustRightInd w:val="0"/>
        <w:snapToGrid w:val="0"/>
        <w:spacing w:before="0" w:after="0" w:line="360" w:lineRule="auto"/>
        <w:ind w:firstLine="480" w:firstLineChars="200"/>
        <w:jc w:val="both"/>
        <w:rPr>
          <w:sz w:val="24"/>
          <w:szCs w:val="24"/>
          <w:lang w:eastAsia="zh-CN"/>
        </w:rPr>
      </w:pPr>
      <w:r>
        <w:rPr>
          <w:sz w:val="24"/>
          <w:szCs w:val="24"/>
          <w:lang w:eastAsia="zh-CN"/>
        </w:rPr>
        <w:t>（五）已修课程的学年平均学分不低于40学分。</w:t>
      </w:r>
    </w:p>
    <w:p>
      <w:pPr>
        <w:pStyle w:val="13"/>
        <w:adjustRightInd w:val="0"/>
        <w:snapToGrid w:val="0"/>
        <w:spacing w:before="0" w:after="0" w:line="360" w:lineRule="auto"/>
        <w:ind w:firstLine="480" w:firstLineChars="200"/>
        <w:jc w:val="both"/>
        <w:rPr>
          <w:sz w:val="24"/>
          <w:szCs w:val="24"/>
          <w:lang w:eastAsia="zh-CN"/>
        </w:rPr>
      </w:pPr>
      <w:r>
        <w:rPr>
          <w:rFonts w:hint="eastAsia" w:ascii="黑体" w:eastAsia="黑体"/>
          <w:b/>
          <w:bCs/>
          <w:sz w:val="24"/>
          <w:szCs w:val="24"/>
          <w:lang w:eastAsia="zh-CN"/>
        </w:rPr>
        <w:t>第三条</w:t>
      </w:r>
      <w:r>
        <w:rPr>
          <w:rFonts w:ascii="黑体" w:eastAsia="黑体"/>
          <w:b/>
          <w:bCs/>
          <w:sz w:val="24"/>
          <w:szCs w:val="24"/>
          <w:lang w:eastAsia="zh-CN"/>
        </w:rPr>
        <w:t xml:space="preserve"> </w:t>
      </w:r>
      <w:r>
        <w:rPr>
          <w:rFonts w:hint="eastAsia"/>
          <w:b w:val="0"/>
          <w:bCs w:val="0"/>
          <w:sz w:val="24"/>
          <w:szCs w:val="24"/>
          <w:lang w:eastAsia="zh-CN"/>
        </w:rPr>
        <w:t>奖学金参评基本条件</w:t>
      </w:r>
    </w:p>
    <w:p>
      <w:pPr>
        <w:pStyle w:val="13"/>
        <w:adjustRightInd w:val="0"/>
        <w:snapToGrid w:val="0"/>
        <w:spacing w:before="0" w:after="0" w:line="360" w:lineRule="auto"/>
        <w:ind w:firstLine="480" w:firstLineChars="200"/>
        <w:jc w:val="both"/>
        <w:rPr>
          <w:sz w:val="24"/>
          <w:szCs w:val="24"/>
          <w:lang w:eastAsia="zh-CN"/>
        </w:rPr>
      </w:pPr>
      <w:r>
        <w:rPr>
          <w:rFonts w:hint="eastAsia"/>
          <w:sz w:val="24"/>
          <w:szCs w:val="24"/>
          <w:lang w:eastAsia="zh-CN"/>
        </w:rPr>
        <w:t>（一）</w:t>
      </w:r>
      <w:r>
        <w:rPr>
          <w:sz w:val="24"/>
          <w:szCs w:val="24"/>
          <w:lang w:eastAsia="zh-CN"/>
        </w:rPr>
        <w:t>申请奖学金的学生必须符合本办法第二条规定；</w:t>
      </w:r>
    </w:p>
    <w:p>
      <w:pPr>
        <w:pStyle w:val="13"/>
        <w:adjustRightInd w:val="0"/>
        <w:snapToGrid w:val="0"/>
        <w:spacing w:before="0" w:after="0" w:line="360" w:lineRule="auto"/>
        <w:ind w:firstLine="480" w:firstLineChars="200"/>
        <w:jc w:val="both"/>
        <w:rPr>
          <w:sz w:val="24"/>
          <w:szCs w:val="24"/>
          <w:lang w:eastAsia="zh-CN"/>
        </w:rPr>
      </w:pPr>
      <w:r>
        <w:rPr>
          <w:sz w:val="24"/>
          <w:szCs w:val="24"/>
          <w:lang w:eastAsia="zh-CN"/>
        </w:rPr>
        <w:t>（</w:t>
      </w:r>
      <w:r>
        <w:rPr>
          <w:rFonts w:hint="eastAsia"/>
          <w:sz w:val="24"/>
          <w:szCs w:val="24"/>
          <w:lang w:eastAsia="zh-CN"/>
        </w:rPr>
        <w:t>二）</w:t>
      </w:r>
      <w:r>
        <w:rPr>
          <w:sz w:val="24"/>
          <w:szCs w:val="24"/>
          <w:lang w:eastAsia="zh-CN"/>
        </w:rPr>
        <w:t>申请奖学金的学生必须在该学年至少获得1项个人荣誉称号。</w:t>
      </w:r>
    </w:p>
    <w:p>
      <w:pPr>
        <w:pStyle w:val="13"/>
        <w:tabs>
          <w:tab w:val="left" w:pos="1695"/>
          <w:tab w:val="left" w:pos="3434"/>
        </w:tabs>
        <w:spacing w:before="100" w:beforeAutospacing="1" w:after="100" w:afterAutospacing="1" w:line="360" w:lineRule="auto"/>
        <w:jc w:val="center"/>
        <w:rPr>
          <w:rFonts w:ascii="黑体" w:eastAsia="黑体"/>
          <w:b/>
          <w:bCs/>
          <w:sz w:val="24"/>
          <w:szCs w:val="24"/>
          <w:lang w:eastAsia="zh-CN"/>
        </w:rPr>
      </w:pPr>
      <w:r>
        <w:rPr>
          <w:rFonts w:hint="eastAsia" w:ascii="黑体" w:eastAsia="黑体"/>
          <w:b/>
          <w:bCs/>
          <w:sz w:val="24"/>
          <w:szCs w:val="24"/>
          <w:lang w:eastAsia="zh-CN"/>
        </w:rPr>
        <w:t>第二章</w:t>
      </w:r>
      <w:r>
        <w:rPr>
          <w:rFonts w:ascii="黑体" w:eastAsia="黑体"/>
          <w:b/>
          <w:bCs/>
          <w:sz w:val="24"/>
          <w:szCs w:val="24"/>
          <w:lang w:eastAsia="zh-CN"/>
        </w:rPr>
        <w:t xml:space="preserve"> </w:t>
      </w:r>
      <w:bookmarkStart w:id="0" w:name="_Hlk5028421"/>
      <w:r>
        <w:rPr>
          <w:rFonts w:hint="eastAsia" w:ascii="黑体" w:eastAsia="黑体"/>
          <w:b/>
          <w:bCs/>
          <w:sz w:val="24"/>
          <w:szCs w:val="24"/>
          <w:lang w:eastAsia="zh-CN"/>
        </w:rPr>
        <w:t>校级及以上奖学金和荣誉称号的评定</w:t>
      </w:r>
      <w:bookmarkEnd w:id="0"/>
    </w:p>
    <w:p>
      <w:pPr>
        <w:pStyle w:val="13"/>
        <w:tabs>
          <w:tab w:val="left" w:pos="3434"/>
        </w:tabs>
        <w:adjustRightInd w:val="0"/>
        <w:snapToGrid w:val="0"/>
        <w:spacing w:before="0" w:after="0" w:line="360" w:lineRule="auto"/>
        <w:ind w:firstLine="480" w:firstLineChars="200"/>
        <w:jc w:val="both"/>
        <w:rPr>
          <w:b/>
          <w:bCs/>
          <w:sz w:val="24"/>
          <w:szCs w:val="24"/>
          <w:lang w:eastAsia="zh-CN"/>
        </w:rPr>
      </w:pPr>
      <w:r>
        <w:rPr>
          <w:rFonts w:hint="eastAsia" w:ascii="黑体" w:eastAsia="黑体"/>
          <w:b/>
          <w:bCs/>
          <w:sz w:val="24"/>
          <w:szCs w:val="24"/>
          <w:lang w:eastAsia="zh-CN"/>
        </w:rPr>
        <w:t>第四条</w:t>
      </w:r>
      <w:r>
        <w:rPr>
          <w:rFonts w:ascii="黑体" w:eastAsia="黑体"/>
          <w:b/>
          <w:bCs/>
          <w:sz w:val="24"/>
          <w:szCs w:val="24"/>
          <w:lang w:eastAsia="zh-CN"/>
        </w:rPr>
        <w:t xml:space="preserve"> </w:t>
      </w:r>
      <w:r>
        <w:rPr>
          <w:rFonts w:hint="eastAsia"/>
          <w:b w:val="0"/>
          <w:bCs w:val="0"/>
          <w:sz w:val="24"/>
          <w:szCs w:val="24"/>
          <w:lang w:eastAsia="zh-CN"/>
        </w:rPr>
        <w:t>校级及以上奖学金和荣誉称号的评定</w:t>
      </w:r>
    </w:p>
    <w:p>
      <w:pPr>
        <w:pStyle w:val="13"/>
        <w:adjustRightInd w:val="0"/>
        <w:snapToGrid w:val="0"/>
        <w:spacing w:before="0" w:after="0" w:line="360" w:lineRule="auto"/>
        <w:ind w:firstLine="456" w:firstLineChars="200"/>
        <w:jc w:val="both"/>
        <w:rPr>
          <w:spacing w:val="-12"/>
          <w:sz w:val="24"/>
          <w:szCs w:val="24"/>
          <w:lang w:eastAsia="zh-CN"/>
        </w:rPr>
      </w:pPr>
      <w:r>
        <w:rPr>
          <w:rFonts w:hint="eastAsia"/>
          <w:spacing w:val="-12"/>
          <w:sz w:val="24"/>
          <w:szCs w:val="24"/>
          <w:lang w:eastAsia="zh-CN"/>
        </w:rPr>
        <w:t>（一）校级及以上奖学金按照</w:t>
      </w:r>
      <w:r>
        <w:rPr>
          <w:spacing w:val="-15"/>
          <w:sz w:val="24"/>
          <w:szCs w:val="24"/>
          <w:lang w:eastAsia="zh-CN"/>
        </w:rPr>
        <w:t>《浙</w:t>
      </w:r>
      <w:r>
        <w:rPr>
          <w:spacing w:val="-14"/>
          <w:sz w:val="24"/>
          <w:szCs w:val="24"/>
          <w:lang w:eastAsia="zh-CN"/>
        </w:rPr>
        <w:t>江大学本科学生评价实施办法》</w:t>
      </w:r>
      <w:r>
        <w:rPr>
          <w:spacing w:val="-1"/>
          <w:sz w:val="24"/>
          <w:szCs w:val="24"/>
          <w:lang w:eastAsia="zh-CN"/>
        </w:rPr>
        <w:t>（浙大发本〔2017〕</w:t>
      </w:r>
      <w:r>
        <w:rPr>
          <w:rFonts w:ascii="Times New Roman" w:eastAsia="Times New Roman"/>
          <w:spacing w:val="-13"/>
          <w:sz w:val="24"/>
          <w:szCs w:val="24"/>
          <w:lang w:eastAsia="zh-CN"/>
        </w:rPr>
        <w:t>1</w:t>
      </w:r>
      <w:r>
        <w:rPr>
          <w:rFonts w:ascii="Times New Roman" w:eastAsia="Times New Roman"/>
          <w:spacing w:val="-1"/>
          <w:sz w:val="24"/>
          <w:szCs w:val="24"/>
          <w:lang w:eastAsia="zh-CN"/>
        </w:rPr>
        <w:t>1</w:t>
      </w:r>
      <w:r>
        <w:rPr>
          <w:rFonts w:ascii="Times New Roman" w:eastAsia="Times New Roman"/>
          <w:sz w:val="24"/>
          <w:szCs w:val="24"/>
          <w:lang w:eastAsia="zh-CN"/>
        </w:rPr>
        <w:t>7</w:t>
      </w:r>
      <w:r>
        <w:rPr>
          <w:sz w:val="24"/>
          <w:szCs w:val="24"/>
          <w:lang w:eastAsia="zh-CN"/>
        </w:rPr>
        <w:t>号</w:t>
      </w:r>
      <w:r>
        <w:rPr>
          <w:spacing w:val="-160"/>
          <w:sz w:val="24"/>
          <w:szCs w:val="24"/>
          <w:lang w:eastAsia="zh-CN"/>
        </w:rPr>
        <w:t>）</w:t>
      </w:r>
      <w:r>
        <w:rPr>
          <w:rFonts w:hint="eastAsia"/>
          <w:spacing w:val="-10"/>
          <w:sz w:val="24"/>
          <w:szCs w:val="24"/>
          <w:lang w:eastAsia="zh-CN"/>
        </w:rPr>
        <w:t>及</w:t>
      </w:r>
      <w:r>
        <w:rPr>
          <w:spacing w:val="-10"/>
          <w:sz w:val="24"/>
          <w:szCs w:val="24"/>
          <w:lang w:eastAsia="zh-CN"/>
        </w:rPr>
        <w:t>《浙江大学本科学生荣誉称号及奖学金评定管理办法》</w:t>
      </w:r>
      <w:r>
        <w:rPr>
          <w:rFonts w:hint="eastAsia"/>
          <w:sz w:val="24"/>
          <w:szCs w:val="24"/>
          <w:lang w:eastAsia="zh-CN"/>
        </w:rPr>
        <w:t>（浙大发本</w:t>
      </w:r>
      <w:r>
        <w:rPr>
          <w:sz w:val="24"/>
          <w:szCs w:val="24"/>
          <w:lang w:eastAsia="zh-CN"/>
        </w:rPr>
        <w:t>〔2017〕</w:t>
      </w:r>
      <w:r>
        <w:rPr>
          <w:rFonts w:ascii="Times New Roman" w:eastAsia="Times New Roman"/>
          <w:spacing w:val="-13"/>
          <w:sz w:val="24"/>
          <w:szCs w:val="24"/>
          <w:lang w:eastAsia="zh-CN"/>
        </w:rPr>
        <w:t>1</w:t>
      </w:r>
      <w:r>
        <w:rPr>
          <w:rFonts w:ascii="Times New Roman" w:eastAsia="Times New Roman"/>
          <w:spacing w:val="-1"/>
          <w:sz w:val="24"/>
          <w:szCs w:val="24"/>
          <w:lang w:eastAsia="zh-CN"/>
        </w:rPr>
        <w:t>1</w:t>
      </w:r>
      <w:r>
        <w:rPr>
          <w:rFonts w:hint="eastAsia" w:ascii="Times New Roman" w:eastAsiaTheme="minorEastAsia"/>
          <w:sz w:val="24"/>
          <w:szCs w:val="24"/>
          <w:lang w:eastAsia="zh-CN"/>
        </w:rPr>
        <w:t>8</w:t>
      </w:r>
      <w:r>
        <w:rPr>
          <w:rFonts w:ascii="Times New Roman" w:eastAsia="Times New Roman"/>
          <w:sz w:val="24"/>
          <w:szCs w:val="24"/>
          <w:lang w:eastAsia="zh-CN"/>
        </w:rPr>
        <w:t xml:space="preserve"> </w:t>
      </w:r>
      <w:r>
        <w:rPr>
          <w:sz w:val="24"/>
          <w:szCs w:val="24"/>
          <w:lang w:eastAsia="zh-CN"/>
        </w:rPr>
        <w:t>号</w:t>
      </w:r>
      <w:r>
        <w:rPr>
          <w:rFonts w:hint="eastAsia"/>
          <w:sz w:val="24"/>
          <w:szCs w:val="24"/>
          <w:lang w:eastAsia="zh-CN"/>
        </w:rPr>
        <w:t>）</w:t>
      </w:r>
      <w:r>
        <w:rPr>
          <w:rFonts w:hint="eastAsia"/>
          <w:spacing w:val="-12"/>
          <w:sz w:val="24"/>
          <w:szCs w:val="24"/>
          <w:lang w:eastAsia="zh-CN"/>
        </w:rPr>
        <w:t>评定。</w:t>
      </w:r>
    </w:p>
    <w:p>
      <w:pPr>
        <w:pStyle w:val="13"/>
        <w:adjustRightInd w:val="0"/>
        <w:snapToGrid w:val="0"/>
        <w:spacing w:before="0" w:after="0" w:line="360" w:lineRule="auto"/>
        <w:ind w:firstLine="456" w:firstLineChars="200"/>
        <w:jc w:val="both"/>
        <w:rPr>
          <w:rFonts w:hint="eastAsia"/>
          <w:spacing w:val="-12"/>
          <w:sz w:val="24"/>
          <w:szCs w:val="24"/>
          <w:lang w:eastAsia="zh-CN"/>
        </w:rPr>
      </w:pPr>
      <w:r>
        <w:rPr>
          <w:rFonts w:hint="eastAsia"/>
          <w:spacing w:val="-12"/>
          <w:sz w:val="24"/>
          <w:szCs w:val="24"/>
          <w:lang w:eastAsia="zh-CN"/>
        </w:rPr>
        <w:t>（二）按学校下达的名额进行评定。</w:t>
      </w:r>
    </w:p>
    <w:p>
      <w:pPr>
        <w:pStyle w:val="13"/>
        <w:adjustRightInd w:val="0"/>
        <w:snapToGrid w:val="0"/>
        <w:spacing w:before="0" w:after="0" w:line="360" w:lineRule="auto"/>
        <w:ind w:firstLine="480" w:firstLineChars="200"/>
        <w:jc w:val="both"/>
        <w:rPr>
          <w:b w:val="0"/>
          <w:bCs w:val="0"/>
          <w:sz w:val="24"/>
          <w:szCs w:val="24"/>
          <w:lang w:eastAsia="zh-CN"/>
        </w:rPr>
      </w:pPr>
      <w:r>
        <w:rPr>
          <w:rFonts w:hint="eastAsia" w:ascii="黑体" w:eastAsia="黑体"/>
          <w:b/>
          <w:bCs/>
          <w:sz w:val="24"/>
          <w:szCs w:val="24"/>
          <w:lang w:eastAsia="zh-CN"/>
        </w:rPr>
        <w:t>第五条</w:t>
      </w:r>
      <w:r>
        <w:rPr>
          <w:rFonts w:ascii="黑体" w:eastAsia="黑体"/>
          <w:b/>
          <w:bCs/>
          <w:sz w:val="24"/>
          <w:szCs w:val="24"/>
          <w:lang w:eastAsia="zh-CN"/>
        </w:rPr>
        <w:t xml:space="preserve"> </w:t>
      </w:r>
      <w:r>
        <w:rPr>
          <w:rFonts w:hint="eastAsia"/>
          <w:b w:val="0"/>
          <w:bCs w:val="0"/>
          <w:sz w:val="24"/>
          <w:szCs w:val="24"/>
          <w:lang w:eastAsia="zh-CN"/>
        </w:rPr>
        <w:t>个</w:t>
      </w:r>
      <w:r>
        <w:rPr>
          <w:b w:val="0"/>
          <w:bCs w:val="0"/>
          <w:sz w:val="24"/>
          <w:szCs w:val="24"/>
          <w:lang w:eastAsia="zh-CN"/>
        </w:rPr>
        <w:t>人荣誉称号评定比例</w:t>
      </w:r>
    </w:p>
    <w:p>
      <w:pPr>
        <w:pStyle w:val="13"/>
        <w:adjustRightInd w:val="0"/>
        <w:snapToGrid w:val="0"/>
        <w:spacing w:before="0" w:after="0" w:line="360" w:lineRule="auto"/>
        <w:ind w:firstLine="480" w:firstLineChars="200"/>
        <w:jc w:val="both"/>
        <w:rPr>
          <w:sz w:val="24"/>
          <w:szCs w:val="24"/>
          <w:lang w:eastAsia="zh-CN"/>
        </w:rPr>
      </w:pPr>
      <w:r>
        <w:rPr>
          <w:sz w:val="24"/>
          <w:szCs w:val="24"/>
          <w:lang w:eastAsia="zh-CN"/>
        </w:rPr>
        <w:t>（</w:t>
      </w:r>
      <w:r>
        <w:rPr>
          <w:rFonts w:hint="eastAsia"/>
          <w:sz w:val="24"/>
          <w:szCs w:val="24"/>
          <w:lang w:eastAsia="zh-CN"/>
        </w:rPr>
        <w:t>一</w:t>
      </w:r>
      <w:r>
        <w:rPr>
          <w:sz w:val="24"/>
          <w:szCs w:val="24"/>
          <w:lang w:eastAsia="zh-CN"/>
        </w:rPr>
        <w:t>）</w:t>
      </w:r>
      <w:r>
        <w:rPr>
          <w:rFonts w:hint="eastAsia"/>
          <w:sz w:val="24"/>
          <w:szCs w:val="24"/>
          <w:lang w:eastAsia="zh-CN"/>
        </w:rPr>
        <w:t>学</w:t>
      </w:r>
      <w:r>
        <w:rPr>
          <w:sz w:val="24"/>
          <w:szCs w:val="24"/>
          <w:lang w:eastAsia="zh-CN"/>
        </w:rPr>
        <w:t>生求是荣誉奖章、优秀学生、学业进步标兵、优秀毕业生不限定评定比例。</w:t>
      </w:r>
    </w:p>
    <w:p>
      <w:pPr>
        <w:pStyle w:val="13"/>
        <w:adjustRightInd w:val="0"/>
        <w:snapToGrid w:val="0"/>
        <w:spacing w:before="0" w:after="0" w:line="360" w:lineRule="auto"/>
        <w:ind w:firstLine="480" w:firstLineChars="200"/>
        <w:jc w:val="both"/>
        <w:rPr>
          <w:sz w:val="24"/>
          <w:szCs w:val="24"/>
          <w:lang w:eastAsia="zh-CN"/>
        </w:rPr>
      </w:pPr>
      <w:r>
        <w:rPr>
          <w:sz w:val="24"/>
          <w:szCs w:val="24"/>
          <w:lang w:eastAsia="zh-CN"/>
        </w:rPr>
        <w:t>（二）</w:t>
      </w:r>
      <w:r>
        <w:rPr>
          <w:rFonts w:hint="eastAsia"/>
          <w:sz w:val="24"/>
          <w:szCs w:val="24"/>
          <w:lang w:eastAsia="zh-CN"/>
        </w:rPr>
        <w:t>学业</w:t>
      </w:r>
      <w:r>
        <w:rPr>
          <w:sz w:val="24"/>
          <w:szCs w:val="24"/>
          <w:lang w:eastAsia="zh-CN"/>
        </w:rPr>
        <w:t>优秀标兵人数原则上不超过参评学生总人数的35%。</w:t>
      </w:r>
    </w:p>
    <w:p>
      <w:pPr>
        <w:pStyle w:val="13"/>
        <w:adjustRightInd w:val="0"/>
        <w:snapToGrid w:val="0"/>
        <w:spacing w:before="0" w:after="0" w:line="360" w:lineRule="auto"/>
        <w:ind w:firstLine="480" w:firstLineChars="200"/>
        <w:jc w:val="both"/>
        <w:rPr>
          <w:spacing w:val="-12"/>
          <w:sz w:val="24"/>
          <w:szCs w:val="24"/>
          <w:lang w:eastAsia="zh-CN"/>
        </w:rPr>
      </w:pPr>
      <w:r>
        <w:rPr>
          <w:sz w:val="24"/>
          <w:szCs w:val="24"/>
          <w:lang w:eastAsia="zh-CN"/>
        </w:rPr>
        <w:t>（</w:t>
      </w:r>
      <w:r>
        <w:rPr>
          <w:rFonts w:hint="eastAsia"/>
          <w:sz w:val="24"/>
          <w:szCs w:val="24"/>
          <w:lang w:eastAsia="zh-CN"/>
        </w:rPr>
        <w:t>三）社</w:t>
      </w:r>
      <w:r>
        <w:rPr>
          <w:sz w:val="24"/>
          <w:szCs w:val="24"/>
          <w:lang w:eastAsia="zh-CN"/>
        </w:rPr>
        <w:t>会工作标兵、创新创业标兵、公益服务标兵、对外交流标兵、文体活动标兵评选总数原则上不超过参评学生总人数的35%。</w:t>
      </w:r>
      <w:r>
        <w:rPr>
          <w:rFonts w:hint="eastAsia"/>
          <w:sz w:val="24"/>
          <w:szCs w:val="24"/>
          <w:lang w:eastAsia="zh-CN"/>
        </w:rPr>
        <w:t>学系将</w:t>
      </w:r>
      <w:r>
        <w:rPr>
          <w:sz w:val="24"/>
          <w:szCs w:val="24"/>
          <w:lang w:eastAsia="zh-CN"/>
        </w:rPr>
        <w:t>根据实际情况进行分配</w:t>
      </w:r>
      <w:r>
        <w:rPr>
          <w:rFonts w:hint="eastAsia"/>
          <w:sz w:val="24"/>
          <w:szCs w:val="24"/>
          <w:lang w:eastAsia="zh-CN"/>
        </w:rPr>
        <w:t>，在上述比例的基础上做一定的微调</w:t>
      </w:r>
      <w:r>
        <w:rPr>
          <w:sz w:val="24"/>
          <w:szCs w:val="24"/>
          <w:lang w:eastAsia="zh-CN"/>
        </w:rPr>
        <w:t>。校级学生组织、学生社团的主管部门可按相关要求直接推荐社会工作标兵，并报学生工作处审核，此类社会工作标兵不占</w:t>
      </w:r>
      <w:r>
        <w:rPr>
          <w:rFonts w:hint="eastAsia"/>
          <w:sz w:val="24"/>
          <w:szCs w:val="24"/>
          <w:lang w:eastAsia="zh-CN"/>
        </w:rPr>
        <w:t>高分子系名额</w:t>
      </w:r>
      <w:r>
        <w:rPr>
          <w:sz w:val="24"/>
          <w:szCs w:val="24"/>
          <w:lang w:eastAsia="zh-CN"/>
        </w:rPr>
        <w:t>。</w:t>
      </w:r>
    </w:p>
    <w:p>
      <w:pPr>
        <w:pStyle w:val="13"/>
        <w:tabs>
          <w:tab w:val="left" w:pos="1695"/>
          <w:tab w:val="left" w:pos="3434"/>
        </w:tabs>
        <w:spacing w:before="100" w:beforeAutospacing="1" w:after="100" w:afterAutospacing="1" w:line="360" w:lineRule="auto"/>
        <w:jc w:val="center"/>
        <w:rPr>
          <w:rFonts w:ascii="黑体" w:eastAsia="黑体"/>
          <w:b/>
          <w:bCs/>
          <w:sz w:val="24"/>
          <w:szCs w:val="24"/>
          <w:lang w:eastAsia="zh-CN"/>
        </w:rPr>
      </w:pPr>
      <w:r>
        <w:rPr>
          <w:rFonts w:hint="eastAsia" w:ascii="黑体" w:eastAsia="黑体"/>
          <w:b/>
          <w:bCs/>
          <w:sz w:val="24"/>
          <w:szCs w:val="24"/>
          <w:lang w:eastAsia="zh-CN"/>
        </w:rPr>
        <w:t>第三章</w:t>
      </w:r>
      <w:r>
        <w:rPr>
          <w:rFonts w:ascii="黑体" w:eastAsia="黑体"/>
          <w:b/>
          <w:bCs/>
          <w:sz w:val="24"/>
          <w:szCs w:val="24"/>
          <w:lang w:eastAsia="zh-CN"/>
        </w:rPr>
        <w:t xml:space="preserve"> </w:t>
      </w:r>
      <w:r>
        <w:rPr>
          <w:rFonts w:hint="eastAsia" w:ascii="黑体" w:eastAsia="黑体"/>
          <w:b/>
          <w:bCs/>
          <w:sz w:val="24"/>
          <w:szCs w:val="24"/>
          <w:lang w:eastAsia="zh-CN"/>
        </w:rPr>
        <w:t>系级奖学金的评定</w:t>
      </w:r>
    </w:p>
    <w:p>
      <w:pPr>
        <w:pStyle w:val="13"/>
        <w:adjustRightInd w:val="0"/>
        <w:snapToGrid w:val="0"/>
        <w:spacing w:before="0" w:after="0" w:line="360" w:lineRule="auto"/>
        <w:ind w:left="456"/>
        <w:jc w:val="both"/>
        <w:rPr>
          <w:rFonts w:hint="eastAsia"/>
          <w:b w:val="0"/>
          <w:bCs w:val="0"/>
          <w:sz w:val="24"/>
          <w:szCs w:val="24"/>
          <w:lang w:eastAsia="zh-CN"/>
        </w:rPr>
      </w:pPr>
      <w:r>
        <w:rPr>
          <w:rFonts w:hint="eastAsia" w:ascii="黑体" w:eastAsia="黑体"/>
          <w:b/>
          <w:bCs/>
          <w:sz w:val="24"/>
          <w:szCs w:val="24"/>
          <w:lang w:eastAsia="zh-CN"/>
        </w:rPr>
        <w:t>第六条</w:t>
      </w:r>
      <w:r>
        <w:rPr>
          <w:rFonts w:ascii="黑体" w:eastAsia="黑体"/>
          <w:b/>
          <w:bCs/>
          <w:sz w:val="24"/>
          <w:szCs w:val="24"/>
          <w:lang w:eastAsia="zh-CN"/>
        </w:rPr>
        <w:t xml:space="preserve"> </w:t>
      </w:r>
      <w:r>
        <w:rPr>
          <w:rFonts w:hint="eastAsia"/>
          <w:b w:val="0"/>
          <w:bCs w:val="0"/>
          <w:sz w:val="24"/>
          <w:szCs w:val="24"/>
          <w:lang w:eastAsia="zh-CN"/>
        </w:rPr>
        <w:t>系级奖学金参评条件</w:t>
      </w:r>
    </w:p>
    <w:p>
      <w:pPr>
        <w:pStyle w:val="13"/>
        <w:adjustRightInd w:val="0"/>
        <w:snapToGrid w:val="0"/>
        <w:spacing w:before="0" w:after="0" w:line="360" w:lineRule="auto"/>
        <w:ind w:left="456"/>
        <w:jc w:val="both"/>
        <w:rPr>
          <w:spacing w:val="-12"/>
          <w:sz w:val="24"/>
          <w:szCs w:val="24"/>
          <w:lang w:eastAsia="zh-CN"/>
        </w:rPr>
      </w:pPr>
      <w:r>
        <w:rPr>
          <w:rFonts w:hint="eastAsia"/>
          <w:spacing w:val="-12"/>
          <w:sz w:val="24"/>
          <w:szCs w:val="24"/>
          <w:lang w:eastAsia="zh-CN"/>
        </w:rPr>
        <w:t>（一） 符合本办法第三条规定；</w:t>
      </w:r>
    </w:p>
    <w:p>
      <w:pPr>
        <w:pStyle w:val="13"/>
        <w:adjustRightInd w:val="0"/>
        <w:snapToGrid w:val="0"/>
        <w:spacing w:before="0" w:after="0" w:line="360" w:lineRule="auto"/>
        <w:ind w:left="456"/>
        <w:jc w:val="both"/>
        <w:rPr>
          <w:spacing w:val="-12"/>
          <w:sz w:val="24"/>
          <w:szCs w:val="24"/>
          <w:lang w:eastAsia="zh-CN"/>
        </w:rPr>
      </w:pPr>
      <w:r>
        <w:rPr>
          <w:rFonts w:hint="eastAsia"/>
          <w:spacing w:val="-12"/>
          <w:sz w:val="24"/>
          <w:szCs w:val="24"/>
          <w:lang w:eastAsia="zh-CN"/>
        </w:rPr>
        <w:t>（二） 需有参加公共服务的经历。</w:t>
      </w:r>
    </w:p>
    <w:p>
      <w:pPr>
        <w:pStyle w:val="13"/>
        <w:adjustRightInd w:val="0"/>
        <w:snapToGrid w:val="0"/>
        <w:spacing w:before="0" w:after="0" w:line="360" w:lineRule="auto"/>
        <w:ind w:firstLine="480" w:firstLineChars="200"/>
        <w:jc w:val="both"/>
        <w:rPr>
          <w:b w:val="0"/>
          <w:bCs w:val="0"/>
          <w:sz w:val="24"/>
          <w:szCs w:val="24"/>
          <w:lang w:eastAsia="zh-CN"/>
        </w:rPr>
      </w:pPr>
      <w:r>
        <w:rPr>
          <w:rFonts w:hint="eastAsia" w:ascii="黑体" w:eastAsia="黑体"/>
          <w:b/>
          <w:bCs/>
          <w:sz w:val="24"/>
          <w:szCs w:val="24"/>
          <w:lang w:eastAsia="zh-CN"/>
        </w:rPr>
        <w:t>第七条</w:t>
      </w:r>
      <w:r>
        <w:rPr>
          <w:rFonts w:ascii="黑体" w:eastAsia="黑体"/>
          <w:b/>
          <w:bCs/>
          <w:sz w:val="24"/>
          <w:szCs w:val="24"/>
          <w:lang w:eastAsia="zh-CN"/>
        </w:rPr>
        <w:t xml:space="preserve"> </w:t>
      </w:r>
      <w:r>
        <w:rPr>
          <w:rFonts w:hint="eastAsia" w:asciiTheme="minorEastAsia" w:hAnsiTheme="minorEastAsia" w:eastAsiaTheme="minorEastAsia"/>
          <w:b w:val="0"/>
          <w:bCs w:val="0"/>
          <w:sz w:val="24"/>
          <w:szCs w:val="24"/>
          <w:lang w:eastAsia="zh-CN"/>
        </w:rPr>
        <w:t>先进班级奖学金的参</w:t>
      </w:r>
      <w:r>
        <w:rPr>
          <w:b w:val="0"/>
          <w:bCs w:val="0"/>
          <w:sz w:val="24"/>
          <w:szCs w:val="24"/>
          <w:lang w:eastAsia="zh-CN"/>
        </w:rPr>
        <w:t>评条件</w:t>
      </w:r>
    </w:p>
    <w:p>
      <w:pPr>
        <w:pStyle w:val="55"/>
        <w:adjustRightInd w:val="0"/>
        <w:snapToGrid w:val="0"/>
        <w:spacing w:line="360" w:lineRule="auto"/>
        <w:ind w:firstLine="480"/>
        <w:rPr>
          <w:rFonts w:ascii="FangSong" w:hAnsi="FangSong" w:eastAsia="宋体"/>
          <w:bCs/>
          <w:sz w:val="24"/>
        </w:rPr>
      </w:pPr>
      <w:r>
        <w:rPr>
          <w:rFonts w:hint="eastAsia" w:ascii="FangSong" w:hAnsi="FangSong" w:eastAsia="宋体"/>
          <w:bCs/>
          <w:sz w:val="24"/>
        </w:rPr>
        <w:t>（一） 全体同学积极上进、学习勤奋，工作积极，尊敬师长，团结协作；</w:t>
      </w:r>
    </w:p>
    <w:p>
      <w:pPr>
        <w:pStyle w:val="55"/>
        <w:adjustRightInd w:val="0"/>
        <w:snapToGrid w:val="0"/>
        <w:spacing w:line="360" w:lineRule="auto"/>
        <w:ind w:firstLine="480"/>
        <w:rPr>
          <w:rFonts w:ascii="FangSong" w:hAnsi="FangSong" w:eastAsia="宋体"/>
          <w:bCs/>
          <w:sz w:val="24"/>
        </w:rPr>
      </w:pPr>
      <w:r>
        <w:rPr>
          <w:rFonts w:hint="eastAsia" w:ascii="FangSong" w:hAnsi="FangSong" w:eastAsia="宋体"/>
          <w:bCs/>
          <w:sz w:val="24"/>
        </w:rPr>
        <w:t>（二） 班委会和团支部在班级建设中起到核心作用；班团干部在各方面以身作则，起到模范带头作用；</w:t>
      </w:r>
    </w:p>
    <w:p>
      <w:pPr>
        <w:pStyle w:val="55"/>
        <w:adjustRightInd w:val="0"/>
        <w:snapToGrid w:val="0"/>
        <w:spacing w:line="360" w:lineRule="auto"/>
        <w:ind w:firstLine="480"/>
        <w:rPr>
          <w:rFonts w:ascii="FangSong" w:hAnsi="FangSong" w:eastAsia="宋体"/>
          <w:bCs/>
          <w:sz w:val="24"/>
        </w:rPr>
      </w:pPr>
      <w:r>
        <w:rPr>
          <w:rFonts w:hint="eastAsia" w:ascii="FangSong" w:hAnsi="FangSong" w:eastAsia="宋体"/>
          <w:bCs/>
          <w:sz w:val="24"/>
        </w:rPr>
        <w:t>（三） 班级学风优良，成员在专业学习和科研活动中成绩突出；</w:t>
      </w:r>
    </w:p>
    <w:p>
      <w:pPr>
        <w:pStyle w:val="55"/>
        <w:adjustRightInd w:val="0"/>
        <w:snapToGrid w:val="0"/>
        <w:spacing w:line="360" w:lineRule="auto"/>
        <w:ind w:firstLine="480"/>
        <w:rPr>
          <w:rFonts w:ascii="FangSong" w:hAnsi="FangSong" w:eastAsia="宋体"/>
          <w:bCs/>
          <w:sz w:val="24"/>
        </w:rPr>
      </w:pPr>
      <w:r>
        <w:rPr>
          <w:rFonts w:hint="eastAsia" w:ascii="FangSong" w:hAnsi="FangSong" w:eastAsia="宋体"/>
          <w:bCs/>
          <w:sz w:val="24"/>
        </w:rPr>
        <w:t>（四） 班级凝聚力强，班级活动和校系举办的课外活动参与度高，效果良好；</w:t>
      </w:r>
    </w:p>
    <w:p>
      <w:pPr>
        <w:pStyle w:val="55"/>
        <w:adjustRightInd w:val="0"/>
        <w:snapToGrid w:val="0"/>
        <w:spacing w:line="360" w:lineRule="auto"/>
        <w:ind w:firstLine="480"/>
        <w:rPr>
          <w:rFonts w:ascii="FangSong" w:hAnsi="FangSong" w:eastAsia="宋体"/>
          <w:bCs/>
          <w:sz w:val="24"/>
        </w:rPr>
      </w:pPr>
      <w:r>
        <w:rPr>
          <w:rFonts w:hint="eastAsia" w:ascii="FangSong" w:hAnsi="FangSong" w:eastAsia="宋体"/>
          <w:bCs/>
          <w:sz w:val="24"/>
        </w:rPr>
        <w:t>（五） 班级成员严格遵守国家法律和学校规章制度，当学年内无人出现违法行为或受违纪处分；</w:t>
      </w:r>
    </w:p>
    <w:p>
      <w:pPr>
        <w:pStyle w:val="55"/>
        <w:adjustRightInd w:val="0"/>
        <w:snapToGrid w:val="0"/>
        <w:spacing w:line="360" w:lineRule="auto"/>
        <w:ind w:firstLine="480"/>
        <w:rPr>
          <w:rFonts w:ascii="FangSong" w:hAnsi="FangSong" w:eastAsia="宋体"/>
          <w:bCs/>
          <w:sz w:val="24"/>
        </w:rPr>
      </w:pPr>
      <w:r>
        <w:rPr>
          <w:rFonts w:hint="eastAsia" w:ascii="FangSong" w:hAnsi="FangSong" w:eastAsia="宋体"/>
          <w:bCs/>
          <w:sz w:val="24"/>
        </w:rPr>
        <w:t>（六） 班级成员积极参加体育锻炼，90%以上的同学达到“学生体质健康标准”及格及以上等级，有成员在文体竞赛中获奖的班级优先考虑。</w:t>
      </w:r>
    </w:p>
    <w:p>
      <w:pPr>
        <w:pStyle w:val="55"/>
        <w:adjustRightInd w:val="0"/>
        <w:snapToGrid w:val="0"/>
        <w:spacing w:line="360" w:lineRule="auto"/>
        <w:ind w:firstLine="480"/>
        <w:rPr>
          <w:rFonts w:ascii="FangSong" w:hAnsi="FangSong" w:eastAsia="宋体"/>
          <w:bCs/>
          <w:sz w:val="24"/>
        </w:rPr>
      </w:pPr>
      <w:r>
        <w:rPr>
          <w:rFonts w:hint="eastAsia" w:ascii="黑体" w:hAnsi="黑体" w:eastAsia="黑体"/>
          <w:b/>
          <w:bCs w:val="0"/>
          <w:sz w:val="24"/>
        </w:rPr>
        <w:t>第八条</w:t>
      </w:r>
      <w:r>
        <w:rPr>
          <w:rFonts w:hint="eastAsia" w:ascii="FangSong" w:hAnsi="FangSong" w:eastAsia="宋体"/>
          <w:b/>
          <w:bCs w:val="0"/>
          <w:sz w:val="24"/>
        </w:rPr>
        <w:t xml:space="preserve"> </w:t>
      </w:r>
      <w:r>
        <w:rPr>
          <w:rFonts w:hint="eastAsia" w:ascii="FangSong" w:hAnsi="FangSong" w:eastAsia="宋体"/>
          <w:bCs/>
          <w:sz w:val="24"/>
        </w:rPr>
        <w:t>学业进步奖学金的参评条件</w:t>
      </w:r>
    </w:p>
    <w:p>
      <w:pPr>
        <w:pStyle w:val="55"/>
        <w:adjustRightInd w:val="0"/>
        <w:snapToGrid w:val="0"/>
        <w:spacing w:line="360" w:lineRule="auto"/>
        <w:ind w:firstLine="480"/>
        <w:rPr>
          <w:rFonts w:ascii="FangSong" w:hAnsi="FangSong" w:eastAsia="宋体"/>
          <w:bCs/>
          <w:sz w:val="24"/>
        </w:rPr>
      </w:pPr>
      <w:r>
        <w:rPr>
          <w:rFonts w:hint="eastAsia" w:ascii="FangSong" w:hAnsi="FangSong" w:eastAsia="宋体"/>
          <w:bCs/>
          <w:sz w:val="24"/>
        </w:rPr>
        <w:t>（一）</w:t>
      </w:r>
      <w:r>
        <w:rPr>
          <w:sz w:val="24"/>
        </w:rPr>
        <w:t>符合本办法第二条规定</w:t>
      </w:r>
      <w:r>
        <w:rPr>
          <w:rFonts w:hint="eastAsia"/>
          <w:sz w:val="24"/>
        </w:rPr>
        <w:t>；</w:t>
      </w:r>
    </w:p>
    <w:p>
      <w:pPr>
        <w:pStyle w:val="55"/>
        <w:adjustRightInd w:val="0"/>
        <w:snapToGrid w:val="0"/>
        <w:spacing w:line="360" w:lineRule="auto"/>
        <w:ind w:firstLine="480"/>
        <w:rPr>
          <w:rFonts w:ascii="FangSong" w:hAnsi="FangSong" w:eastAsia="宋体"/>
          <w:bCs/>
          <w:sz w:val="24"/>
        </w:rPr>
      </w:pPr>
      <w:r>
        <w:rPr>
          <w:rFonts w:hint="eastAsia" w:ascii="FangSong" w:hAnsi="FangSong" w:eastAsia="宋体"/>
          <w:bCs/>
          <w:sz w:val="24"/>
        </w:rPr>
        <w:t>（二）上一年度成绩排名年级</w:t>
      </w:r>
      <w:r>
        <w:rPr>
          <w:rFonts w:ascii="FangSong" w:hAnsi="FangSong" w:eastAsia="宋体"/>
          <w:bCs/>
          <w:sz w:val="24"/>
        </w:rPr>
        <w:t>后</w:t>
      </w:r>
      <w:r>
        <w:rPr>
          <w:rFonts w:hint="eastAsia" w:ascii="FangSong" w:hAnsi="FangSong" w:eastAsia="宋体"/>
          <w:bCs/>
          <w:sz w:val="24"/>
        </w:rPr>
        <w:t>5</w:t>
      </w:r>
      <w:r>
        <w:rPr>
          <w:rFonts w:ascii="FangSong" w:hAnsi="FangSong" w:eastAsia="宋体"/>
          <w:bCs/>
          <w:sz w:val="24"/>
        </w:rPr>
        <w:t>0%，</w:t>
      </w:r>
      <w:r>
        <w:rPr>
          <w:rFonts w:hint="eastAsia" w:ascii="FangSong" w:hAnsi="FangSong" w:eastAsia="宋体"/>
          <w:bCs/>
          <w:sz w:val="24"/>
        </w:rPr>
        <w:t>且</w:t>
      </w:r>
      <w:r>
        <w:rPr>
          <w:rFonts w:ascii="FangSong" w:hAnsi="FangSong" w:eastAsia="宋体"/>
          <w:bCs/>
          <w:sz w:val="24"/>
        </w:rPr>
        <w:t>在</w:t>
      </w:r>
      <w:r>
        <w:rPr>
          <w:rFonts w:hint="eastAsia" w:ascii="FangSong" w:hAnsi="FangSong" w:eastAsia="宋体"/>
          <w:bCs/>
          <w:sz w:val="24"/>
        </w:rPr>
        <w:t>本</w:t>
      </w:r>
      <w:r>
        <w:rPr>
          <w:rFonts w:ascii="FangSong" w:hAnsi="FangSong" w:eastAsia="宋体"/>
          <w:bCs/>
          <w:sz w:val="24"/>
        </w:rPr>
        <w:t>年度的学业</w:t>
      </w:r>
      <w:r>
        <w:rPr>
          <w:rFonts w:hint="eastAsia" w:ascii="FangSong" w:hAnsi="FangSong" w:eastAsia="宋体"/>
          <w:bCs/>
          <w:sz w:val="24"/>
        </w:rPr>
        <w:t>综合</w:t>
      </w:r>
      <w:r>
        <w:rPr>
          <w:rFonts w:ascii="FangSong" w:hAnsi="FangSong" w:eastAsia="宋体"/>
          <w:bCs/>
          <w:sz w:val="24"/>
        </w:rPr>
        <w:t>排名提升</w:t>
      </w:r>
      <w:r>
        <w:rPr>
          <w:rFonts w:hint="eastAsia" w:ascii="FangSong" w:hAnsi="FangSong" w:eastAsia="宋体"/>
          <w:bCs/>
          <w:sz w:val="24"/>
        </w:rPr>
        <w:t>名次</w:t>
      </w:r>
      <w:r>
        <w:rPr>
          <w:rFonts w:ascii="FangSong" w:hAnsi="FangSong" w:eastAsia="宋体"/>
          <w:bCs/>
          <w:sz w:val="24"/>
        </w:rPr>
        <w:t>超过</w:t>
      </w:r>
      <w:r>
        <w:rPr>
          <w:rFonts w:hint="eastAsia" w:ascii="FangSong" w:hAnsi="FangSong" w:eastAsia="宋体"/>
          <w:bCs/>
          <w:sz w:val="24"/>
        </w:rPr>
        <w:t>年级总人数的</w:t>
      </w:r>
      <w:r>
        <w:rPr>
          <w:rFonts w:ascii="FangSong" w:hAnsi="FangSong" w:eastAsia="宋体"/>
          <w:bCs/>
          <w:sz w:val="24"/>
        </w:rPr>
        <w:t>10</w:t>
      </w:r>
      <w:r>
        <w:rPr>
          <w:rFonts w:hint="eastAsia" w:ascii="FangSong" w:hAnsi="FangSong" w:eastAsia="宋体"/>
          <w:bCs/>
          <w:sz w:val="24"/>
        </w:rPr>
        <w:t>%；</w:t>
      </w:r>
    </w:p>
    <w:p>
      <w:pPr>
        <w:pStyle w:val="55"/>
        <w:adjustRightInd w:val="0"/>
        <w:snapToGrid w:val="0"/>
        <w:spacing w:line="360" w:lineRule="auto"/>
        <w:ind w:firstLine="480"/>
        <w:rPr>
          <w:rFonts w:ascii="FangSong" w:hAnsi="FangSong" w:eastAsia="宋体"/>
          <w:bCs/>
          <w:sz w:val="24"/>
        </w:rPr>
      </w:pPr>
      <w:r>
        <w:rPr>
          <w:rFonts w:hint="eastAsia" w:ascii="FangSong" w:hAnsi="FangSong" w:eastAsia="宋体"/>
          <w:bCs/>
          <w:sz w:val="24"/>
        </w:rPr>
        <w:t>（三）</w:t>
      </w:r>
      <w:r>
        <w:rPr>
          <w:rFonts w:ascii="FangSong" w:hAnsi="FangSong" w:eastAsia="宋体"/>
          <w:bCs/>
          <w:sz w:val="24"/>
        </w:rPr>
        <w:t>每个年级评选人数不超过2人。</w:t>
      </w:r>
      <w:r>
        <w:rPr>
          <w:rFonts w:hint="eastAsia" w:ascii="FangSong" w:hAnsi="FangSong" w:eastAsia="宋体"/>
          <w:bCs/>
          <w:sz w:val="24"/>
        </w:rPr>
        <w:t>若符合评审条件的同学多于评选名额，按照提升名次依次确定。</w:t>
      </w:r>
    </w:p>
    <w:p>
      <w:pPr>
        <w:pStyle w:val="55"/>
        <w:adjustRightInd w:val="0"/>
        <w:snapToGrid w:val="0"/>
        <w:spacing w:line="360" w:lineRule="auto"/>
        <w:ind w:firstLine="480"/>
        <w:rPr>
          <w:rFonts w:ascii="FangSong" w:hAnsi="FangSong" w:eastAsia="宋体"/>
          <w:b/>
          <w:color w:val="000000" w:themeColor="text1"/>
          <w:sz w:val="24"/>
          <w14:textFill>
            <w14:solidFill>
              <w14:schemeClr w14:val="tx1"/>
            </w14:solidFill>
          </w14:textFill>
        </w:rPr>
      </w:pPr>
      <w:r>
        <w:rPr>
          <w:rFonts w:hint="eastAsia" w:ascii="FangSong" w:hAnsi="FangSong" w:eastAsia="宋体"/>
          <w:color w:val="000000" w:themeColor="text1"/>
          <w:sz w:val="24"/>
          <w14:textFill>
            <w14:solidFill>
              <w14:schemeClr w14:val="tx1"/>
            </w14:solidFill>
          </w14:textFill>
        </w:rPr>
        <w:t>（四）学业进步奖学金不与其他奖学金兼得</w:t>
      </w:r>
      <w:r>
        <w:rPr>
          <w:rFonts w:hint="eastAsia" w:ascii="FangSong" w:hAnsi="FangSong" w:eastAsia="宋体"/>
          <w:b/>
          <w:color w:val="000000" w:themeColor="text1"/>
          <w:sz w:val="24"/>
          <w14:textFill>
            <w14:solidFill>
              <w14:schemeClr w14:val="tx1"/>
            </w14:solidFill>
          </w14:textFill>
        </w:rPr>
        <w:t>。</w:t>
      </w:r>
    </w:p>
    <w:p>
      <w:pPr>
        <w:pStyle w:val="55"/>
        <w:adjustRightInd w:val="0"/>
        <w:snapToGrid w:val="0"/>
        <w:spacing w:line="360" w:lineRule="auto"/>
        <w:ind w:firstLine="482"/>
        <w:rPr>
          <w:rFonts w:ascii="FangSong" w:hAnsi="FangSong" w:eastAsia="宋体"/>
          <w:bCs/>
          <w:sz w:val="24"/>
        </w:rPr>
      </w:pPr>
      <w:r>
        <w:rPr>
          <w:rFonts w:hint="eastAsia" w:ascii="黑体" w:hAnsi="黑体" w:eastAsia="黑体"/>
          <w:b/>
          <w:bCs/>
          <w:sz w:val="24"/>
        </w:rPr>
        <w:t>第九条</w:t>
      </w:r>
      <w:r>
        <w:rPr>
          <w:rFonts w:hint="eastAsia" w:ascii="FangSong" w:hAnsi="FangSong" w:eastAsia="宋体"/>
          <w:bCs/>
          <w:sz w:val="24"/>
        </w:rPr>
        <w:t xml:space="preserve"> 先进班级奖学金和学业进步奖学金的名额设最高限额，可空缺。</w:t>
      </w:r>
    </w:p>
    <w:p>
      <w:pPr>
        <w:pStyle w:val="13"/>
        <w:tabs>
          <w:tab w:val="left" w:pos="1695"/>
          <w:tab w:val="left" w:pos="3434"/>
        </w:tabs>
        <w:spacing w:before="100" w:beforeAutospacing="1" w:after="100" w:afterAutospacing="1" w:line="360" w:lineRule="auto"/>
        <w:jc w:val="center"/>
        <w:rPr>
          <w:rFonts w:ascii="黑体" w:eastAsia="黑体"/>
          <w:b/>
          <w:bCs/>
          <w:sz w:val="24"/>
          <w:szCs w:val="24"/>
          <w:lang w:eastAsia="zh-CN"/>
        </w:rPr>
      </w:pPr>
      <w:r>
        <w:rPr>
          <w:rFonts w:hint="eastAsia" w:ascii="黑体" w:eastAsia="黑体"/>
          <w:b/>
          <w:bCs/>
          <w:sz w:val="24"/>
          <w:szCs w:val="24"/>
          <w:lang w:eastAsia="zh-CN"/>
        </w:rPr>
        <w:t>第四章</w:t>
      </w:r>
      <w:r>
        <w:rPr>
          <w:rFonts w:ascii="黑体" w:eastAsia="黑体"/>
          <w:b/>
          <w:bCs/>
          <w:sz w:val="24"/>
          <w:szCs w:val="24"/>
          <w:lang w:eastAsia="zh-CN"/>
        </w:rPr>
        <w:t xml:space="preserve"> </w:t>
      </w:r>
      <w:r>
        <w:rPr>
          <w:rFonts w:hint="eastAsia" w:ascii="黑体" w:eastAsia="黑体"/>
          <w:b/>
          <w:bCs/>
          <w:sz w:val="24"/>
          <w:szCs w:val="24"/>
          <w:lang w:eastAsia="zh-CN"/>
        </w:rPr>
        <w:t>评审机构与流程</w:t>
      </w:r>
    </w:p>
    <w:p>
      <w:pPr>
        <w:pStyle w:val="13"/>
        <w:adjustRightInd w:val="0"/>
        <w:snapToGrid w:val="0"/>
        <w:spacing w:before="0" w:after="0" w:line="360" w:lineRule="auto"/>
        <w:ind w:firstLine="498" w:firstLineChars="200"/>
        <w:jc w:val="both"/>
        <w:rPr>
          <w:sz w:val="24"/>
          <w:szCs w:val="24"/>
          <w:lang w:eastAsia="zh-CN"/>
        </w:rPr>
      </w:pPr>
      <w:r>
        <w:rPr>
          <w:rFonts w:hint="eastAsia" w:ascii="黑体" w:eastAsia="黑体"/>
          <w:b/>
          <w:bCs/>
          <w:spacing w:val="9"/>
          <w:sz w:val="24"/>
          <w:szCs w:val="24"/>
          <w:lang w:eastAsia="zh-CN"/>
        </w:rPr>
        <w:t>第十条</w:t>
      </w:r>
      <w:r>
        <w:rPr>
          <w:rFonts w:hint="eastAsia" w:ascii="黑体" w:eastAsia="黑体"/>
          <w:spacing w:val="9"/>
          <w:sz w:val="24"/>
          <w:szCs w:val="24"/>
          <w:lang w:eastAsia="zh-CN"/>
        </w:rPr>
        <w:t xml:space="preserve"> </w:t>
      </w:r>
      <w:r>
        <w:rPr>
          <w:rFonts w:hint="eastAsia"/>
          <w:sz w:val="24"/>
          <w:szCs w:val="24"/>
          <w:lang w:eastAsia="zh-CN"/>
        </w:rPr>
        <w:t>高分子系本科生荣誉称号及奖学金评定工作执行学校的相关规定。</w:t>
      </w:r>
    </w:p>
    <w:p>
      <w:pPr>
        <w:pStyle w:val="13"/>
        <w:tabs>
          <w:tab w:val="left" w:pos="2386"/>
        </w:tabs>
        <w:adjustRightInd w:val="0"/>
        <w:snapToGrid w:val="0"/>
        <w:spacing w:before="0" w:after="0" w:line="360" w:lineRule="auto"/>
        <w:ind w:firstLine="480" w:firstLineChars="200"/>
        <w:jc w:val="both"/>
        <w:rPr>
          <w:sz w:val="24"/>
          <w:szCs w:val="24"/>
          <w:lang w:eastAsia="zh-CN"/>
        </w:rPr>
      </w:pPr>
      <w:r>
        <w:rPr>
          <w:rFonts w:hint="eastAsia" w:ascii="黑体" w:eastAsia="黑体"/>
          <w:b/>
          <w:bCs/>
          <w:sz w:val="24"/>
          <w:szCs w:val="24"/>
          <w:lang w:eastAsia="zh-CN"/>
        </w:rPr>
        <w:t xml:space="preserve">第十一条 </w:t>
      </w:r>
      <w:r>
        <w:rPr>
          <w:rFonts w:hint="eastAsia"/>
          <w:sz w:val="24"/>
          <w:szCs w:val="24"/>
          <w:lang w:eastAsia="zh-CN"/>
        </w:rPr>
        <w:t>高分子系本科生荣誉称号及奖学金评定工作的领导机构为高分子系学生工作委员会，每年组建</w:t>
      </w:r>
      <w:r>
        <w:rPr>
          <w:sz w:val="24"/>
          <w:szCs w:val="24"/>
          <w:lang w:eastAsia="zh-CN"/>
        </w:rPr>
        <w:t>包含师生代表的委员会，负责制定本单位评奖评优实施细则</w:t>
      </w:r>
      <w:r>
        <w:rPr>
          <w:rFonts w:hint="eastAsia"/>
          <w:sz w:val="24"/>
          <w:szCs w:val="24"/>
          <w:lang w:eastAsia="zh-CN"/>
        </w:rPr>
        <w:t>。</w:t>
      </w:r>
      <w:r>
        <w:rPr>
          <w:sz w:val="24"/>
          <w:szCs w:val="24"/>
          <w:lang w:eastAsia="zh-CN"/>
        </w:rPr>
        <w:t>设立学生评奖评优工作小组，具体负责评定工作的开展。</w:t>
      </w:r>
    </w:p>
    <w:p>
      <w:pPr>
        <w:pStyle w:val="13"/>
        <w:tabs>
          <w:tab w:val="left" w:pos="1695"/>
          <w:tab w:val="left" w:pos="3434"/>
        </w:tabs>
        <w:spacing w:before="100" w:beforeAutospacing="1" w:after="100" w:afterAutospacing="1" w:line="360" w:lineRule="auto"/>
        <w:jc w:val="center"/>
        <w:rPr>
          <w:rFonts w:ascii="黑体" w:eastAsia="黑体"/>
          <w:b/>
          <w:bCs/>
          <w:sz w:val="24"/>
          <w:szCs w:val="24"/>
          <w:lang w:eastAsia="zh-CN"/>
        </w:rPr>
      </w:pPr>
      <w:r>
        <w:rPr>
          <w:rFonts w:hint="eastAsia" w:ascii="黑体" w:eastAsia="黑体"/>
          <w:b/>
          <w:bCs/>
          <w:sz w:val="24"/>
          <w:szCs w:val="24"/>
          <w:lang w:eastAsia="zh-CN"/>
        </w:rPr>
        <w:t>第五章</w:t>
      </w:r>
      <w:r>
        <w:rPr>
          <w:rFonts w:ascii="黑体" w:eastAsia="黑体"/>
          <w:b/>
          <w:bCs/>
          <w:sz w:val="24"/>
          <w:szCs w:val="24"/>
          <w:lang w:eastAsia="zh-CN"/>
        </w:rPr>
        <w:t xml:space="preserve"> </w:t>
      </w:r>
      <w:r>
        <w:rPr>
          <w:rFonts w:hint="eastAsia" w:ascii="黑体" w:eastAsia="黑体"/>
          <w:b/>
          <w:bCs/>
          <w:sz w:val="24"/>
          <w:szCs w:val="24"/>
          <w:lang w:eastAsia="zh-CN"/>
        </w:rPr>
        <w:t>附则</w:t>
      </w:r>
    </w:p>
    <w:p>
      <w:pPr>
        <w:pStyle w:val="13"/>
        <w:adjustRightInd w:val="0"/>
        <w:snapToGrid w:val="0"/>
        <w:spacing w:before="0" w:after="0" w:line="360" w:lineRule="auto"/>
        <w:ind w:firstLine="480" w:firstLineChars="200"/>
        <w:jc w:val="both"/>
        <w:rPr>
          <w:spacing w:val="-12"/>
          <w:sz w:val="24"/>
          <w:szCs w:val="24"/>
          <w:lang w:eastAsia="zh-CN"/>
        </w:rPr>
      </w:pPr>
      <w:r>
        <w:rPr>
          <w:rFonts w:hint="eastAsia" w:ascii="黑体" w:eastAsia="黑体"/>
          <w:b/>
          <w:bCs w:val="0"/>
          <w:color w:val="000000" w:themeColor="text1"/>
          <w:sz w:val="24"/>
          <w:szCs w:val="24"/>
          <w:lang w:eastAsia="zh-CN"/>
          <w14:textFill>
            <w14:solidFill>
              <w14:schemeClr w14:val="tx1"/>
            </w14:solidFill>
          </w14:textFill>
        </w:rPr>
        <w:t>第十二条</w:t>
      </w:r>
      <w:r>
        <w:rPr>
          <w:rFonts w:hint="eastAsia"/>
          <w:b/>
          <w:bCs/>
          <w:color w:val="000000" w:themeColor="text1"/>
          <w:sz w:val="24"/>
          <w:szCs w:val="24"/>
          <w:lang w:eastAsia="zh-CN"/>
          <w14:textFill>
            <w14:solidFill>
              <w14:schemeClr w14:val="tx1"/>
            </w14:solidFill>
          </w14:textFill>
        </w:rPr>
        <w:t xml:space="preserve"> </w:t>
      </w:r>
      <w:r>
        <w:rPr>
          <w:rFonts w:hint="eastAsia"/>
          <w:spacing w:val="-12"/>
          <w:sz w:val="24"/>
          <w:szCs w:val="24"/>
          <w:lang w:eastAsia="zh-CN"/>
        </w:rPr>
        <w:t>校级及以上奖学金是指政府、学校、校外单位或个人在全校范围设立的奖学金。</w:t>
      </w:r>
    </w:p>
    <w:p>
      <w:pPr>
        <w:pStyle w:val="13"/>
        <w:adjustRightInd w:val="0"/>
        <w:snapToGrid w:val="0"/>
        <w:spacing w:before="0" w:after="0" w:line="360" w:lineRule="auto"/>
        <w:ind w:firstLine="480" w:firstLineChars="200"/>
        <w:jc w:val="both"/>
        <w:rPr>
          <w:bCs/>
          <w:color w:val="000000" w:themeColor="text1"/>
          <w:sz w:val="24"/>
          <w:szCs w:val="24"/>
          <w:lang w:eastAsia="zh-CN"/>
          <w14:textFill>
            <w14:solidFill>
              <w14:schemeClr w14:val="tx1"/>
            </w14:solidFill>
          </w14:textFill>
        </w:rPr>
      </w:pPr>
      <w:r>
        <w:rPr>
          <w:rFonts w:hint="eastAsia" w:ascii="黑体" w:eastAsia="黑体"/>
          <w:b/>
          <w:bCs w:val="0"/>
          <w:color w:val="000000" w:themeColor="text1"/>
          <w:sz w:val="24"/>
          <w:szCs w:val="24"/>
          <w:lang w:eastAsia="zh-CN"/>
          <w14:textFill>
            <w14:solidFill>
              <w14:schemeClr w14:val="tx1"/>
            </w14:solidFill>
          </w14:textFill>
        </w:rPr>
        <w:t>第十三条</w:t>
      </w:r>
      <w:r>
        <w:rPr>
          <w:rFonts w:hint="eastAsia" w:ascii="黑体" w:eastAsia="黑体"/>
          <w:bCs/>
          <w:color w:val="000000" w:themeColor="text1"/>
          <w:sz w:val="24"/>
          <w:szCs w:val="24"/>
          <w:lang w:eastAsia="zh-CN"/>
          <w14:textFill>
            <w14:solidFill>
              <w14:schemeClr w14:val="tx1"/>
            </w14:solidFill>
          </w14:textFill>
        </w:rPr>
        <w:t xml:space="preserve"> </w:t>
      </w:r>
      <w:r>
        <w:rPr>
          <w:rFonts w:hint="eastAsia"/>
          <w:bCs/>
          <w:color w:val="000000" w:themeColor="text1"/>
          <w:sz w:val="24"/>
          <w:szCs w:val="24"/>
          <w:lang w:eastAsia="zh-CN"/>
          <w14:textFill>
            <w14:solidFill>
              <w14:schemeClr w14:val="tx1"/>
            </w14:solidFill>
          </w14:textFill>
        </w:rPr>
        <w:t>系级奖学金指由企事业单位或个人在我系设立的外设奖学金，具体评定标准、奖励名额和奖励金额根据设奖要求而定，由学系统一下达。</w:t>
      </w:r>
    </w:p>
    <w:p>
      <w:pPr>
        <w:pStyle w:val="13"/>
        <w:adjustRightInd w:val="0"/>
        <w:snapToGrid w:val="0"/>
        <w:spacing w:before="0" w:after="0" w:line="360" w:lineRule="auto"/>
        <w:ind w:firstLine="480" w:firstLineChars="200"/>
        <w:jc w:val="both"/>
        <w:rPr>
          <w:bCs/>
          <w:color w:val="000000" w:themeColor="text1"/>
          <w:sz w:val="24"/>
          <w:szCs w:val="24"/>
          <w:lang w:eastAsia="zh-CN"/>
          <w14:textFill>
            <w14:solidFill>
              <w14:schemeClr w14:val="tx1"/>
            </w14:solidFill>
          </w14:textFill>
        </w:rPr>
      </w:pPr>
      <w:r>
        <w:rPr>
          <w:rFonts w:hint="eastAsia" w:ascii="黑体" w:eastAsia="黑体"/>
          <w:b/>
          <w:bCs w:val="0"/>
          <w:color w:val="000000" w:themeColor="text1"/>
          <w:sz w:val="24"/>
          <w:szCs w:val="24"/>
          <w:lang w:eastAsia="zh-CN"/>
          <w14:textFill>
            <w14:solidFill>
              <w14:schemeClr w14:val="tx1"/>
            </w14:solidFill>
          </w14:textFill>
        </w:rPr>
        <w:t>第十四条</w:t>
      </w:r>
      <w:r>
        <w:rPr>
          <w:rFonts w:hint="eastAsia"/>
          <w:bCs/>
          <w:color w:val="000000" w:themeColor="text1"/>
          <w:sz w:val="24"/>
          <w:szCs w:val="24"/>
          <w:lang w:eastAsia="zh-CN"/>
          <w14:textFill>
            <w14:solidFill>
              <w14:schemeClr w14:val="tx1"/>
            </w14:solidFill>
          </w14:textFill>
        </w:rPr>
        <w:t xml:space="preserve"> 除学业进步奖学金外，系级奖学金荣誉与奖金均可与其他奖学金兼得</w:t>
      </w:r>
      <w:r>
        <w:rPr>
          <w:rFonts w:hint="eastAsia"/>
          <w:color w:val="333333"/>
          <w:sz w:val="28"/>
          <w:szCs w:val="28"/>
          <w:lang w:eastAsia="zh-CN"/>
        </w:rPr>
        <w:t>，</w:t>
      </w:r>
      <w:r>
        <w:rPr>
          <w:rFonts w:hint="eastAsia"/>
          <w:bCs/>
          <w:color w:val="000000" w:themeColor="text1"/>
          <w:sz w:val="24"/>
          <w:szCs w:val="24"/>
          <w:lang w:eastAsia="zh-CN"/>
          <w14:textFill>
            <w14:solidFill>
              <w14:schemeClr w14:val="tx1"/>
            </w14:solidFill>
          </w14:textFill>
        </w:rPr>
        <w:t>但原则上每人每学年获得的外设奖学金不超过1项；如有特殊情况，如新设立奖学金日期在奖学金评选日期之后、某项奖学金无法评出等，表现特别优秀的同学可获得多于1项但不超过2项外设奖学金。</w:t>
      </w:r>
    </w:p>
    <w:p>
      <w:pPr>
        <w:pStyle w:val="13"/>
        <w:adjustRightInd w:val="0"/>
        <w:snapToGrid w:val="0"/>
        <w:spacing w:before="0" w:after="0" w:line="360" w:lineRule="auto"/>
        <w:ind w:firstLine="484" w:firstLineChars="200"/>
        <w:jc w:val="both"/>
        <w:rPr>
          <w:rFonts w:asciiTheme="minorEastAsia" w:hAnsiTheme="minorEastAsia" w:eastAsiaTheme="minorEastAsia"/>
          <w:sz w:val="24"/>
          <w:szCs w:val="24"/>
          <w:lang w:eastAsia="zh-CN"/>
        </w:rPr>
      </w:pPr>
      <w:r>
        <w:rPr>
          <w:rFonts w:hint="eastAsia" w:ascii="黑体" w:eastAsia="黑体"/>
          <w:b/>
          <w:bCs/>
          <w:spacing w:val="2"/>
          <w:sz w:val="24"/>
          <w:szCs w:val="24"/>
          <w:lang w:eastAsia="zh-CN"/>
        </w:rPr>
        <w:t>第十五条</w:t>
      </w:r>
      <w:r>
        <w:rPr>
          <w:rFonts w:hint="eastAsia" w:ascii="黑体" w:eastAsia="黑体"/>
          <w:spacing w:val="2"/>
          <w:sz w:val="24"/>
          <w:szCs w:val="24"/>
          <w:lang w:eastAsia="zh-CN"/>
        </w:rPr>
        <w:t xml:space="preserve"> </w:t>
      </w:r>
      <w:r>
        <w:rPr>
          <w:rFonts w:hint="eastAsia" w:asciiTheme="minorEastAsia" w:hAnsiTheme="minorEastAsia" w:eastAsiaTheme="minorEastAsia"/>
          <w:spacing w:val="2"/>
          <w:sz w:val="24"/>
          <w:szCs w:val="24"/>
          <w:lang w:eastAsia="zh-CN"/>
        </w:rPr>
        <w:t>第</w:t>
      </w:r>
      <w:r>
        <w:rPr>
          <w:rFonts w:hint="eastAsia" w:asciiTheme="minorEastAsia" w:hAnsiTheme="minorEastAsia" w:eastAsiaTheme="minorEastAsia"/>
          <w:spacing w:val="2"/>
          <w:sz w:val="24"/>
          <w:szCs w:val="24"/>
          <w:lang w:val="en-US" w:eastAsia="zh-CN"/>
        </w:rPr>
        <w:t>六</w:t>
      </w:r>
      <w:r>
        <w:rPr>
          <w:rFonts w:hint="eastAsia" w:asciiTheme="minorEastAsia" w:hAnsiTheme="minorEastAsia" w:eastAsiaTheme="minorEastAsia"/>
          <w:spacing w:val="2"/>
          <w:sz w:val="24"/>
          <w:szCs w:val="24"/>
          <w:lang w:eastAsia="zh-CN"/>
        </w:rPr>
        <w:t>条所述公共服务，是指参加学校和学系的相关公益性活动，如学校和学系重大活动、学系组织的学术活动、校园开放日、专业宣讲等活动；或在学校和学系学生和班团组织中承担相应的社会工作。</w:t>
      </w:r>
    </w:p>
    <w:p>
      <w:pPr>
        <w:pStyle w:val="13"/>
        <w:adjustRightInd w:val="0"/>
        <w:snapToGrid w:val="0"/>
        <w:spacing w:before="0" w:after="0" w:line="360" w:lineRule="auto"/>
        <w:ind w:firstLine="480"/>
        <w:jc w:val="both"/>
        <w:rPr>
          <w:rFonts w:ascii="黑体" w:eastAsia="黑体"/>
          <w:spacing w:val="24"/>
          <w:sz w:val="24"/>
          <w:szCs w:val="24"/>
          <w:lang w:eastAsia="zh-CN"/>
        </w:rPr>
      </w:pPr>
      <w:r>
        <w:rPr>
          <w:rFonts w:hint="eastAsia" w:ascii="黑体" w:eastAsia="黑体"/>
          <w:b/>
          <w:bCs/>
          <w:spacing w:val="24"/>
          <w:sz w:val="24"/>
          <w:szCs w:val="24"/>
          <w:lang w:eastAsia="zh-CN"/>
        </w:rPr>
        <w:t>第十六条</w:t>
      </w:r>
      <w:r>
        <w:rPr>
          <w:rFonts w:hint="eastAsia" w:ascii="黑体" w:eastAsia="黑体"/>
          <w:spacing w:val="24"/>
          <w:sz w:val="24"/>
          <w:szCs w:val="24"/>
          <w:lang w:eastAsia="zh-CN"/>
        </w:rPr>
        <w:t xml:space="preserve"> </w:t>
      </w:r>
      <w:r>
        <w:rPr>
          <w:rFonts w:hint="eastAsia"/>
          <w:spacing w:val="-10"/>
          <w:sz w:val="24"/>
          <w:szCs w:val="24"/>
          <w:lang w:eastAsia="zh-CN"/>
        </w:rPr>
        <w:t>本办法</w:t>
      </w:r>
      <w:r>
        <w:rPr>
          <w:spacing w:val="-10"/>
          <w:sz w:val="24"/>
          <w:szCs w:val="24"/>
          <w:lang w:eastAsia="zh-CN"/>
        </w:rPr>
        <w:t>适用于2017级及以后入学的全日制在校普通本科生。</w:t>
      </w:r>
    </w:p>
    <w:p>
      <w:pPr>
        <w:pStyle w:val="13"/>
        <w:tabs>
          <w:tab w:val="left" w:pos="2699"/>
        </w:tabs>
        <w:adjustRightInd w:val="0"/>
        <w:snapToGrid w:val="0"/>
        <w:spacing w:before="0" w:after="0" w:line="360" w:lineRule="auto"/>
        <w:ind w:firstLine="480" w:firstLineChars="200"/>
        <w:jc w:val="both"/>
        <w:rPr>
          <w:sz w:val="24"/>
          <w:szCs w:val="24"/>
          <w:lang w:eastAsia="zh-CN"/>
        </w:rPr>
      </w:pPr>
      <w:r>
        <w:rPr>
          <w:rFonts w:hint="eastAsia" w:ascii="黑体" w:eastAsia="黑体"/>
          <w:b/>
          <w:bCs/>
          <w:sz w:val="24"/>
          <w:szCs w:val="24"/>
          <w:lang w:eastAsia="zh-CN"/>
        </w:rPr>
        <w:t>第十七条</w:t>
      </w:r>
      <w:r>
        <w:rPr>
          <w:rFonts w:ascii="黑体" w:eastAsia="黑体"/>
          <w:sz w:val="24"/>
          <w:szCs w:val="24"/>
          <w:lang w:eastAsia="zh-CN"/>
        </w:rPr>
        <w:t xml:space="preserve"> </w:t>
      </w:r>
      <w:r>
        <w:rPr>
          <w:rFonts w:hint="eastAsia"/>
          <w:sz w:val="24"/>
          <w:szCs w:val="24"/>
          <w:lang w:eastAsia="zh-CN"/>
        </w:rPr>
        <w:t>本办法由高分子系学生工作委员会负责解释</w:t>
      </w:r>
      <w:r>
        <w:rPr>
          <w:sz w:val="24"/>
          <w:szCs w:val="24"/>
          <w:lang w:eastAsia="zh-CN"/>
        </w:rPr>
        <w:t>。</w:t>
      </w:r>
    </w:p>
    <w:p>
      <w:pPr>
        <w:pStyle w:val="13"/>
        <w:tabs>
          <w:tab w:val="left" w:pos="2699"/>
        </w:tabs>
        <w:adjustRightInd w:val="0"/>
        <w:snapToGrid w:val="0"/>
        <w:spacing w:before="0" w:after="0" w:line="360" w:lineRule="auto"/>
        <w:ind w:firstLine="0" w:firstLineChars="0"/>
        <w:jc w:val="both"/>
        <w:rPr>
          <w:sz w:val="24"/>
          <w:szCs w:val="24"/>
          <w:lang w:eastAsia="zh-CN"/>
        </w:rPr>
      </w:pPr>
    </w:p>
    <w:p>
      <w:pPr>
        <w:pStyle w:val="13"/>
        <w:tabs>
          <w:tab w:val="left" w:pos="2699"/>
        </w:tabs>
        <w:adjustRightInd w:val="0"/>
        <w:snapToGrid w:val="0"/>
        <w:spacing w:before="0" w:after="0" w:line="360" w:lineRule="auto"/>
        <w:ind w:firstLine="480" w:firstLineChars="200"/>
        <w:jc w:val="right"/>
        <w:rPr>
          <w:sz w:val="24"/>
          <w:szCs w:val="24"/>
          <w:lang w:eastAsia="zh-CN"/>
        </w:rPr>
      </w:pPr>
      <w:r>
        <w:rPr>
          <w:rFonts w:hint="eastAsia"/>
          <w:sz w:val="24"/>
          <w:szCs w:val="24"/>
          <w:lang w:eastAsia="zh-CN"/>
        </w:rPr>
        <w:t>高分子系学生工作委员会</w:t>
      </w:r>
    </w:p>
    <w:p>
      <w:pPr>
        <w:pStyle w:val="13"/>
        <w:tabs>
          <w:tab w:val="left" w:pos="2699"/>
        </w:tabs>
        <w:adjustRightInd w:val="0"/>
        <w:snapToGrid w:val="0"/>
        <w:spacing w:before="0" w:after="0" w:line="360" w:lineRule="auto"/>
        <w:ind w:firstLine="480" w:firstLineChars="200"/>
        <w:jc w:val="right"/>
        <w:rPr>
          <w:sz w:val="24"/>
          <w:szCs w:val="24"/>
          <w:lang w:eastAsia="zh-CN"/>
        </w:rPr>
      </w:pPr>
      <w:bookmarkStart w:id="1" w:name="_GoBack"/>
      <w:bookmarkEnd w:id="1"/>
      <w:r>
        <w:rPr>
          <w:sz w:val="24"/>
          <w:szCs w:val="24"/>
          <w:lang w:eastAsia="zh-CN"/>
        </w:rPr>
        <w:t>2019年4月1</w:t>
      </w:r>
      <w:r>
        <w:rPr>
          <w:rFonts w:hint="eastAsia"/>
          <w:sz w:val="24"/>
          <w:szCs w:val="24"/>
          <w:lang w:val="en-US" w:eastAsia="zh-CN"/>
        </w:rPr>
        <w:t>1</w:t>
      </w:r>
      <w:r>
        <w:rPr>
          <w:sz w:val="24"/>
          <w:szCs w:val="24"/>
          <w:lang w:eastAsia="zh-CN"/>
        </w:rPr>
        <w:t>日</w:t>
      </w:r>
    </w:p>
    <w:p>
      <w:pPr>
        <w:pStyle w:val="13"/>
        <w:tabs>
          <w:tab w:val="left" w:pos="2699"/>
        </w:tabs>
        <w:adjustRightInd w:val="0"/>
        <w:snapToGrid w:val="0"/>
        <w:spacing w:before="0" w:after="0" w:line="360" w:lineRule="auto"/>
        <w:ind w:firstLine="480" w:firstLineChars="200"/>
        <w:jc w:val="both"/>
        <w:rPr>
          <w:sz w:val="24"/>
          <w:szCs w:val="24"/>
          <w:lang w:eastAsia="zh-CN"/>
        </w:rPr>
      </w:pPr>
    </w:p>
    <w:sectPr>
      <w:footerReference r:id="rId3" w:type="default"/>
      <w:footerReference r:id="rId4" w:type="even"/>
      <w:pgSz w:w="11910" w:h="16840"/>
      <w:pgMar w:top="1560" w:right="1000" w:bottom="1160" w:left="1660" w:header="0" w:footer="969"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FangSong">
    <w:altName w:val="宋体"/>
    <w:panose1 w:val="00000000000000000000"/>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CF3C52" w:usb2="00000016" w:usb3="00000000" w:csb0="0004001F" w:csb1="00000000"/>
  </w:font>
  <w:font w:name="Arial">
    <w:panose1 w:val="020B0604020202020204"/>
    <w:charset w:val="00"/>
    <w:family w:val="auto"/>
    <w:pitch w:val="default"/>
    <w:sig w:usb0="E0002EFF" w:usb1="C0007843" w:usb2="00000009" w:usb3="00000000" w:csb0="400001FF" w:csb1="FFFF0000"/>
  </w:font>
  <w:font w:name="Arial">
    <w:panose1 w:val="020B0604020202020204"/>
    <w:charset w:val="80"/>
    <w:family w:val="swiss"/>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before="0" w:line="14" w:lineRule="auto"/>
      <w:rPr>
        <w:sz w:val="20"/>
      </w:rPr>
    </w:pPr>
    <w:r>
      <w:rPr>
        <w:lang w:eastAsia="zh-CN" w:bidi="ar-SA"/>
      </w:rPr>
      <mc:AlternateContent>
        <mc:Choice Requires="wps">
          <w:drawing>
            <wp:anchor distT="0" distB="0" distL="114300" distR="114300" simplePos="0" relativeHeight="251658240" behindDoc="1" locked="0" layoutInCell="1" allowOverlap="1">
              <wp:simplePos x="0" y="0"/>
              <wp:positionH relativeFrom="page">
                <wp:posOffset>6116320</wp:posOffset>
              </wp:positionH>
              <wp:positionV relativeFrom="page">
                <wp:posOffset>9938385</wp:posOffset>
              </wp:positionV>
              <wp:extent cx="647700" cy="222250"/>
              <wp:effectExtent l="0" t="0" r="0" b="0"/>
              <wp:wrapNone/>
              <wp:docPr id="2" name="文本框 2"/>
              <wp:cNvGraphicFramePr/>
              <a:graphic xmlns:a="http://schemas.openxmlformats.org/drawingml/2006/main">
                <a:graphicData uri="http://schemas.microsoft.com/office/word/2010/wordprocessingShape">
                  <wps:wsp>
                    <wps:cNvSpPr txBox="1"/>
                    <wps:spPr>
                      <a:xfrm>
                        <a:off x="0" y="0"/>
                        <a:ext cx="647700" cy="222250"/>
                      </a:xfrm>
                      <a:prstGeom prst="rect">
                        <a:avLst/>
                      </a:prstGeom>
                      <a:noFill/>
                      <a:ln w="9525">
                        <a:noFill/>
                      </a:ln>
                    </wps:spPr>
                    <wps:txbx>
                      <w:txbxContent>
                        <w:p>
                          <w:pPr>
                            <w:spacing w:line="348" w:lineRule="exact"/>
                            <w:ind w:left="20"/>
                            <w:rPr>
                              <w:sz w:val="28"/>
                            </w:rPr>
                          </w:pPr>
                          <w:r>
                            <w:rPr>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1</w:t>
                          </w:r>
                          <w:r>
                            <w:fldChar w:fldCharType="end"/>
                          </w:r>
                          <w:r>
                            <w:rPr>
                              <w:rFonts w:ascii="Times New Roman" w:hAnsi="Times New Roman"/>
                              <w:spacing w:val="68"/>
                              <w:sz w:val="28"/>
                            </w:rPr>
                            <w:t xml:space="preserve"> </w:t>
                          </w:r>
                          <w:r>
                            <w:rPr>
                              <w:sz w:val="28"/>
                            </w:rPr>
                            <w:t>—</w:t>
                          </w:r>
                        </w:p>
                      </w:txbxContent>
                    </wps:txbx>
                    <wps:bodyPr lIns="0" tIns="0" rIns="0" bIns="0" upright="1"/>
                  </wps:wsp>
                </a:graphicData>
              </a:graphic>
            </wp:anchor>
          </w:drawing>
        </mc:Choice>
        <mc:Fallback>
          <w:pict>
            <v:shape id="_x0000_s1026" o:spid="_x0000_s1026" o:spt="202" type="#_x0000_t202" style="position:absolute;left:0pt;margin-left:481.6pt;margin-top:782.55pt;height:17.5pt;width:51pt;mso-position-horizontal-relative:page;mso-position-vertical-relative:page;z-index:-251658240;mso-width-relative:page;mso-height-relative:page;" filled="f" stroked="f" coordsize="21600,21600" o:gfxdata="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NDgpdzaAAAADgEA&#10;AA8AAAAAAAAAAQAgAAAAIgAAAGRycy9kb3ducmV2LnhtbFBLAQIUABQAAAAIAIdO4kASntcipgEA&#10;ACwDAAAOAAAAAAAAAAEAIAAAACkBAABkcnMvZTJvRG9jLnhtbFBLBQYAAAAABgAGAFkBAABBBQAA&#10;AAA=&#10;">
              <v:fill on="f" focussize="0,0"/>
              <v:stroke on="f"/>
              <v:imagedata o:title=""/>
              <o:lock v:ext="edit" aspectratio="f"/>
              <v:textbox inset="0mm,0mm,0mm,0mm">
                <w:txbxContent>
                  <w:p>
                    <w:pPr>
                      <w:spacing w:line="348" w:lineRule="exact"/>
                      <w:ind w:left="20"/>
                      <w:rPr>
                        <w:sz w:val="28"/>
                      </w:rPr>
                    </w:pPr>
                    <w:r>
                      <w:rPr>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1</w:t>
                    </w:r>
                    <w:r>
                      <w:fldChar w:fldCharType="end"/>
                    </w:r>
                    <w:r>
                      <w:rPr>
                        <w:rFonts w:ascii="Times New Roman" w:hAnsi="Times New Roman"/>
                        <w:spacing w:val="68"/>
                        <w:sz w:val="28"/>
                      </w:rPr>
                      <w:t xml:space="preserve"> </w:t>
                    </w:r>
                    <w:r>
                      <w:rPr>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before="0" w:line="14" w:lineRule="auto"/>
      <w:rPr>
        <w:sz w:val="20"/>
      </w:rPr>
    </w:pPr>
    <w:r>
      <w:rPr>
        <w:lang w:eastAsia="zh-CN" w:bidi="ar-SA"/>
      </w:rPr>
      <mc:AlternateContent>
        <mc:Choice Requires="wps">
          <w:drawing>
            <wp:anchor distT="0" distB="0" distL="114300" distR="114300" simplePos="0" relativeHeight="251657216" behindDoc="1" locked="0" layoutInCell="1" allowOverlap="1">
              <wp:simplePos x="0" y="0"/>
              <wp:positionH relativeFrom="page">
                <wp:posOffset>1130300</wp:posOffset>
              </wp:positionH>
              <wp:positionV relativeFrom="page">
                <wp:posOffset>9938385</wp:posOffset>
              </wp:positionV>
              <wp:extent cx="735965" cy="222250"/>
              <wp:effectExtent l="0" t="0" r="0" b="0"/>
              <wp:wrapNone/>
              <wp:docPr id="1" name="文本框 1"/>
              <wp:cNvGraphicFramePr/>
              <a:graphic xmlns:a="http://schemas.openxmlformats.org/drawingml/2006/main">
                <a:graphicData uri="http://schemas.microsoft.com/office/word/2010/wordprocessingShape">
                  <wps:wsp>
                    <wps:cNvSpPr txBox="1"/>
                    <wps:spPr>
                      <a:xfrm>
                        <a:off x="0" y="0"/>
                        <a:ext cx="735965" cy="222250"/>
                      </a:xfrm>
                      <a:prstGeom prst="rect">
                        <a:avLst/>
                      </a:prstGeom>
                      <a:noFill/>
                      <a:ln w="9525">
                        <a:noFill/>
                      </a:ln>
                    </wps:spPr>
                    <wps:txbx>
                      <w:txbxContent>
                        <w:p>
                          <w:pPr>
                            <w:spacing w:line="348" w:lineRule="exact"/>
                            <w:ind w:left="20"/>
                            <w:rPr>
                              <w:sz w:val="28"/>
                            </w:rPr>
                          </w:pPr>
                          <w:r>
                            <w:rPr>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2</w:t>
                          </w:r>
                          <w:r>
                            <w:fldChar w:fldCharType="end"/>
                          </w:r>
                          <w:r>
                            <w:rPr>
                              <w:rFonts w:ascii="Times New Roman" w:hAnsi="Times New Roman"/>
                              <w:spacing w:val="66"/>
                              <w:sz w:val="28"/>
                            </w:rPr>
                            <w:t xml:space="preserve"> </w:t>
                          </w:r>
                          <w:r>
                            <w:rPr>
                              <w:sz w:val="28"/>
                            </w:rPr>
                            <w:t>—</w:t>
                          </w:r>
                        </w:p>
                      </w:txbxContent>
                    </wps:txbx>
                    <wps:bodyPr lIns="0" tIns="0" rIns="0" bIns="0" upright="1"/>
                  </wps:wsp>
                </a:graphicData>
              </a:graphic>
            </wp:anchor>
          </w:drawing>
        </mc:Choice>
        <mc:Fallback>
          <w:pict>
            <v:shape id="_x0000_s1026" o:spid="_x0000_s1026" o:spt="202" type="#_x0000_t202" style="position:absolute;left:0pt;margin-left:89pt;margin-top:782.55pt;height:17.5pt;width:57.95pt;mso-position-horizontal-relative:page;mso-position-vertical-relative:page;z-index:-251659264;mso-width-relative:page;mso-height-relative:page;" filled="f" stroked="f" coordsize="21600,21600" o:gfxdata="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CWA6u62wAAAA0B&#10;AAAPAAAAAAAAAAEAIAAAACIAAABkcnMvZG93bnJldi54bWxQSwECFAAUAAAACACHTuJAkOjXiKYB&#10;AAAsAwAADgAAAAAAAAABACAAAAAqAQAAZHJzL2Uyb0RvYy54bWxQSwUGAAAAAAYABgBZAQAAQgUA&#10;AAAA&#10;">
              <v:fill on="f" focussize="0,0"/>
              <v:stroke on="f"/>
              <v:imagedata o:title=""/>
              <o:lock v:ext="edit" aspectratio="f"/>
              <v:textbox inset="0mm,0mm,0mm,0mm">
                <w:txbxContent>
                  <w:p>
                    <w:pPr>
                      <w:spacing w:line="348" w:lineRule="exact"/>
                      <w:ind w:left="20"/>
                      <w:rPr>
                        <w:sz w:val="28"/>
                      </w:rPr>
                    </w:pPr>
                    <w:r>
                      <w:rPr>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2</w:t>
                    </w:r>
                    <w:r>
                      <w:fldChar w:fldCharType="end"/>
                    </w:r>
                    <w:r>
                      <w:rPr>
                        <w:rFonts w:ascii="Times New Roman" w:hAnsi="Times New Roman"/>
                        <w:spacing w:val="66"/>
                        <w:sz w:val="28"/>
                      </w:rPr>
                      <w:t xml:space="preserve"> </w:t>
                    </w:r>
                    <w:r>
                      <w:rPr>
                        <w:sz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trackRevisions w:val="1"/>
  <w:documentProtection w:enforcement="0"/>
  <w:defaultTabStop w:val="720"/>
  <w:evenAndOddHeaders w:val="1"/>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2EB6"/>
    <w:rsid w:val="00004333"/>
    <w:rsid w:val="0004383E"/>
    <w:rsid w:val="00044D4E"/>
    <w:rsid w:val="00083C76"/>
    <w:rsid w:val="000A0BA6"/>
    <w:rsid w:val="000D02FE"/>
    <w:rsid w:val="000D69A3"/>
    <w:rsid w:val="000F564C"/>
    <w:rsid w:val="001038AA"/>
    <w:rsid w:val="00121BAF"/>
    <w:rsid w:val="0012685C"/>
    <w:rsid w:val="0013243E"/>
    <w:rsid w:val="00161E7E"/>
    <w:rsid w:val="001818FB"/>
    <w:rsid w:val="00184DA1"/>
    <w:rsid w:val="001850CE"/>
    <w:rsid w:val="00195D96"/>
    <w:rsid w:val="001C5D5E"/>
    <w:rsid w:val="001C69DA"/>
    <w:rsid w:val="001D37CA"/>
    <w:rsid w:val="001D6431"/>
    <w:rsid w:val="001D6E59"/>
    <w:rsid w:val="002250CF"/>
    <w:rsid w:val="00233DEC"/>
    <w:rsid w:val="00274E64"/>
    <w:rsid w:val="002B0BFD"/>
    <w:rsid w:val="002C65C3"/>
    <w:rsid w:val="002D15E9"/>
    <w:rsid w:val="002D5AB3"/>
    <w:rsid w:val="002E2614"/>
    <w:rsid w:val="002F2E5D"/>
    <w:rsid w:val="00303E0D"/>
    <w:rsid w:val="00305E5B"/>
    <w:rsid w:val="00307D19"/>
    <w:rsid w:val="003111C8"/>
    <w:rsid w:val="00314075"/>
    <w:rsid w:val="003413C2"/>
    <w:rsid w:val="00344D81"/>
    <w:rsid w:val="003A18D5"/>
    <w:rsid w:val="003B1B38"/>
    <w:rsid w:val="003B2BF8"/>
    <w:rsid w:val="003D6F83"/>
    <w:rsid w:val="00400F43"/>
    <w:rsid w:val="004022CC"/>
    <w:rsid w:val="00406493"/>
    <w:rsid w:val="004608E9"/>
    <w:rsid w:val="00463CC6"/>
    <w:rsid w:val="004A3B04"/>
    <w:rsid w:val="004B2921"/>
    <w:rsid w:val="004C52C6"/>
    <w:rsid w:val="004F06C3"/>
    <w:rsid w:val="00505FEC"/>
    <w:rsid w:val="00526ADD"/>
    <w:rsid w:val="00532272"/>
    <w:rsid w:val="00554A7F"/>
    <w:rsid w:val="00563F32"/>
    <w:rsid w:val="00564CE8"/>
    <w:rsid w:val="005939C1"/>
    <w:rsid w:val="005B5B7A"/>
    <w:rsid w:val="005E0B85"/>
    <w:rsid w:val="005F6CC9"/>
    <w:rsid w:val="0063448F"/>
    <w:rsid w:val="00640E36"/>
    <w:rsid w:val="00641AF9"/>
    <w:rsid w:val="006464A9"/>
    <w:rsid w:val="00661C25"/>
    <w:rsid w:val="00664603"/>
    <w:rsid w:val="00665607"/>
    <w:rsid w:val="00700D3F"/>
    <w:rsid w:val="00705C91"/>
    <w:rsid w:val="007557F0"/>
    <w:rsid w:val="007572F3"/>
    <w:rsid w:val="00757A9C"/>
    <w:rsid w:val="00782EB6"/>
    <w:rsid w:val="007A64AF"/>
    <w:rsid w:val="007B1B97"/>
    <w:rsid w:val="007B225B"/>
    <w:rsid w:val="007B26E5"/>
    <w:rsid w:val="007B5368"/>
    <w:rsid w:val="007E29A2"/>
    <w:rsid w:val="007F3993"/>
    <w:rsid w:val="0080704F"/>
    <w:rsid w:val="00825241"/>
    <w:rsid w:val="008335CE"/>
    <w:rsid w:val="008350D8"/>
    <w:rsid w:val="00837DED"/>
    <w:rsid w:val="00841376"/>
    <w:rsid w:val="00851AF3"/>
    <w:rsid w:val="00852B52"/>
    <w:rsid w:val="0085389C"/>
    <w:rsid w:val="00874729"/>
    <w:rsid w:val="00875183"/>
    <w:rsid w:val="008762F1"/>
    <w:rsid w:val="00882BFA"/>
    <w:rsid w:val="00890CA4"/>
    <w:rsid w:val="008B1632"/>
    <w:rsid w:val="008B229E"/>
    <w:rsid w:val="008B7690"/>
    <w:rsid w:val="008C4345"/>
    <w:rsid w:val="008D2820"/>
    <w:rsid w:val="008E2342"/>
    <w:rsid w:val="00907976"/>
    <w:rsid w:val="009156A8"/>
    <w:rsid w:val="00921780"/>
    <w:rsid w:val="00953954"/>
    <w:rsid w:val="00994CE8"/>
    <w:rsid w:val="009B0AD7"/>
    <w:rsid w:val="009D0D8B"/>
    <w:rsid w:val="009E3BC4"/>
    <w:rsid w:val="009E494D"/>
    <w:rsid w:val="009E5F86"/>
    <w:rsid w:val="00A0039D"/>
    <w:rsid w:val="00A238B0"/>
    <w:rsid w:val="00A2425F"/>
    <w:rsid w:val="00A6559E"/>
    <w:rsid w:val="00A673B6"/>
    <w:rsid w:val="00AB0D62"/>
    <w:rsid w:val="00AB5367"/>
    <w:rsid w:val="00AC3EB1"/>
    <w:rsid w:val="00AC5EDD"/>
    <w:rsid w:val="00AD248D"/>
    <w:rsid w:val="00AE6463"/>
    <w:rsid w:val="00AF7D73"/>
    <w:rsid w:val="00B12C75"/>
    <w:rsid w:val="00B2524F"/>
    <w:rsid w:val="00B26C03"/>
    <w:rsid w:val="00B302B1"/>
    <w:rsid w:val="00B554A7"/>
    <w:rsid w:val="00B6117E"/>
    <w:rsid w:val="00B63D4E"/>
    <w:rsid w:val="00B64B23"/>
    <w:rsid w:val="00B75E06"/>
    <w:rsid w:val="00B85A4F"/>
    <w:rsid w:val="00B91886"/>
    <w:rsid w:val="00B95F97"/>
    <w:rsid w:val="00BC762C"/>
    <w:rsid w:val="00BD1BFE"/>
    <w:rsid w:val="00C1162C"/>
    <w:rsid w:val="00C17386"/>
    <w:rsid w:val="00C313EA"/>
    <w:rsid w:val="00C55CB1"/>
    <w:rsid w:val="00C81BA1"/>
    <w:rsid w:val="00C83775"/>
    <w:rsid w:val="00C968AC"/>
    <w:rsid w:val="00CA1296"/>
    <w:rsid w:val="00CB6D40"/>
    <w:rsid w:val="00CD7768"/>
    <w:rsid w:val="00D04574"/>
    <w:rsid w:val="00D10136"/>
    <w:rsid w:val="00D32AF7"/>
    <w:rsid w:val="00D32EEB"/>
    <w:rsid w:val="00D50924"/>
    <w:rsid w:val="00D54D81"/>
    <w:rsid w:val="00D71903"/>
    <w:rsid w:val="00DA19AE"/>
    <w:rsid w:val="00DA7E81"/>
    <w:rsid w:val="00DB086A"/>
    <w:rsid w:val="00DE6F9F"/>
    <w:rsid w:val="00DF26CF"/>
    <w:rsid w:val="00E0560A"/>
    <w:rsid w:val="00E35B6E"/>
    <w:rsid w:val="00E5609F"/>
    <w:rsid w:val="00E62051"/>
    <w:rsid w:val="00E629F1"/>
    <w:rsid w:val="00E62DB9"/>
    <w:rsid w:val="00E64702"/>
    <w:rsid w:val="00E92A3D"/>
    <w:rsid w:val="00EA4264"/>
    <w:rsid w:val="00EB1E13"/>
    <w:rsid w:val="00EB2B4F"/>
    <w:rsid w:val="00EB74DB"/>
    <w:rsid w:val="00ED2423"/>
    <w:rsid w:val="00EE3233"/>
    <w:rsid w:val="00EE7468"/>
    <w:rsid w:val="00F03304"/>
    <w:rsid w:val="00F52C4E"/>
    <w:rsid w:val="00F62859"/>
    <w:rsid w:val="00FB58BC"/>
    <w:rsid w:val="00FB7640"/>
    <w:rsid w:val="00FC09A8"/>
    <w:rsid w:val="00FC51BE"/>
    <w:rsid w:val="00FC64B7"/>
    <w:rsid w:val="00FD6B27"/>
    <w:rsid w:val="00FE34DB"/>
    <w:rsid w:val="00FE3CF0"/>
    <w:rsid w:val="07F17909"/>
    <w:rsid w:val="08F5380B"/>
    <w:rsid w:val="09363107"/>
    <w:rsid w:val="0CA92782"/>
    <w:rsid w:val="0F8B0D08"/>
    <w:rsid w:val="10521DF2"/>
    <w:rsid w:val="1066237F"/>
    <w:rsid w:val="13D37525"/>
    <w:rsid w:val="174C4158"/>
    <w:rsid w:val="1B1B4ED9"/>
    <w:rsid w:val="1DD90968"/>
    <w:rsid w:val="1DF97BF8"/>
    <w:rsid w:val="1F0D4FE3"/>
    <w:rsid w:val="22954CC9"/>
    <w:rsid w:val="23776919"/>
    <w:rsid w:val="2389216D"/>
    <w:rsid w:val="23A34F4B"/>
    <w:rsid w:val="23DF4B14"/>
    <w:rsid w:val="27A87569"/>
    <w:rsid w:val="2BB50E16"/>
    <w:rsid w:val="2FC72D0F"/>
    <w:rsid w:val="34C453D5"/>
    <w:rsid w:val="36A20ABD"/>
    <w:rsid w:val="36B00DF3"/>
    <w:rsid w:val="37385CB7"/>
    <w:rsid w:val="39884654"/>
    <w:rsid w:val="3B24420F"/>
    <w:rsid w:val="3E836720"/>
    <w:rsid w:val="4448578B"/>
    <w:rsid w:val="480C6FB4"/>
    <w:rsid w:val="48C62387"/>
    <w:rsid w:val="48E85C1D"/>
    <w:rsid w:val="49AE739F"/>
    <w:rsid w:val="4F0005A4"/>
    <w:rsid w:val="552E550E"/>
    <w:rsid w:val="579A7740"/>
    <w:rsid w:val="59EE0550"/>
    <w:rsid w:val="5AF43525"/>
    <w:rsid w:val="5BEA5494"/>
    <w:rsid w:val="5D1C3246"/>
    <w:rsid w:val="5F1439A3"/>
    <w:rsid w:val="63EE6028"/>
    <w:rsid w:val="64D4134B"/>
    <w:rsid w:val="659D3D7E"/>
    <w:rsid w:val="669946A4"/>
    <w:rsid w:val="67E82C26"/>
    <w:rsid w:val="6A31718E"/>
    <w:rsid w:val="6CE12F98"/>
    <w:rsid w:val="6D830F4A"/>
    <w:rsid w:val="703B5EDB"/>
    <w:rsid w:val="70BC6C4D"/>
    <w:rsid w:val="721F634C"/>
    <w:rsid w:val="74CC738A"/>
    <w:rsid w:val="75A30628"/>
    <w:rsid w:val="774A6A09"/>
    <w:rsid w:val="784B746C"/>
    <w:rsid w:val="7BEF6F90"/>
    <w:rsid w:val="7E5364A4"/>
    <w:rsid w:val="7EFC73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en-US"/>
    </w:rPr>
  </w:style>
  <w:style w:type="paragraph" w:styleId="2">
    <w:name w:val="heading 1"/>
    <w:basedOn w:val="1"/>
    <w:next w:val="1"/>
    <w:link w:val="30"/>
    <w:qFormat/>
    <w:uiPriority w:val="9"/>
    <w:pPr>
      <w:spacing w:before="480" w:after="0"/>
      <w:contextualSpacing/>
      <w:outlineLvl w:val="0"/>
    </w:pPr>
    <w:rPr>
      <w:rFonts w:asciiTheme="majorHAnsi" w:hAnsiTheme="majorHAnsi" w:eastAsiaTheme="majorEastAsia" w:cstheme="majorBidi"/>
      <w:b/>
      <w:bCs/>
      <w:sz w:val="28"/>
      <w:szCs w:val="28"/>
    </w:rPr>
  </w:style>
  <w:style w:type="paragraph" w:styleId="3">
    <w:name w:val="heading 2"/>
    <w:basedOn w:val="1"/>
    <w:next w:val="1"/>
    <w:link w:val="31"/>
    <w:unhideWhenUsed/>
    <w:qFormat/>
    <w:uiPriority w:val="9"/>
    <w:pPr>
      <w:spacing w:before="200" w:after="0"/>
      <w:outlineLvl w:val="1"/>
    </w:pPr>
    <w:rPr>
      <w:rFonts w:asciiTheme="majorHAnsi" w:hAnsiTheme="majorHAnsi" w:eastAsiaTheme="majorEastAsia" w:cstheme="majorBidi"/>
      <w:b/>
      <w:bCs/>
      <w:sz w:val="26"/>
      <w:szCs w:val="26"/>
    </w:rPr>
  </w:style>
  <w:style w:type="paragraph" w:styleId="4">
    <w:name w:val="heading 3"/>
    <w:basedOn w:val="1"/>
    <w:next w:val="1"/>
    <w:link w:val="32"/>
    <w:unhideWhenUsed/>
    <w:qFormat/>
    <w:uiPriority w:val="9"/>
    <w:pPr>
      <w:spacing w:before="200" w:after="0" w:line="271" w:lineRule="auto"/>
      <w:outlineLvl w:val="2"/>
    </w:pPr>
    <w:rPr>
      <w:rFonts w:asciiTheme="majorHAnsi" w:hAnsiTheme="majorHAnsi" w:eastAsiaTheme="majorEastAsia" w:cstheme="majorBidi"/>
      <w:b/>
      <w:bCs/>
    </w:rPr>
  </w:style>
  <w:style w:type="paragraph" w:styleId="5">
    <w:name w:val="heading 4"/>
    <w:basedOn w:val="1"/>
    <w:next w:val="1"/>
    <w:link w:val="33"/>
    <w:unhideWhenUsed/>
    <w:qFormat/>
    <w:uiPriority w:val="9"/>
    <w:pPr>
      <w:spacing w:before="200" w:after="0"/>
      <w:outlineLvl w:val="3"/>
    </w:pPr>
    <w:rPr>
      <w:rFonts w:asciiTheme="majorHAnsi" w:hAnsiTheme="majorHAnsi" w:eastAsiaTheme="majorEastAsia" w:cstheme="majorBidi"/>
      <w:b/>
      <w:bCs/>
      <w:i/>
      <w:iCs/>
    </w:rPr>
  </w:style>
  <w:style w:type="paragraph" w:styleId="6">
    <w:name w:val="heading 5"/>
    <w:basedOn w:val="1"/>
    <w:next w:val="1"/>
    <w:link w:val="34"/>
    <w:unhideWhenUsed/>
    <w:qFormat/>
    <w:uiPriority w:val="9"/>
    <w:pPr>
      <w:spacing w:before="200" w:after="0"/>
      <w:outlineLvl w:val="4"/>
    </w:pPr>
    <w:rPr>
      <w:rFonts w:asciiTheme="majorHAnsi" w:hAnsiTheme="majorHAnsi" w:eastAsiaTheme="majorEastAsia" w:cstheme="majorBidi"/>
      <w:b/>
      <w:bCs/>
      <w:color w:val="808080" w:themeColor="text1" w:themeTint="80"/>
      <w14:textFill>
        <w14:solidFill>
          <w14:schemeClr w14:val="tx1">
            <w14:lumMod w14:val="50000"/>
            <w14:lumOff w14:val="50000"/>
          </w14:schemeClr>
        </w14:solidFill>
      </w14:textFill>
    </w:rPr>
  </w:style>
  <w:style w:type="paragraph" w:styleId="7">
    <w:name w:val="heading 6"/>
    <w:basedOn w:val="1"/>
    <w:next w:val="1"/>
    <w:link w:val="35"/>
    <w:unhideWhenUsed/>
    <w:qFormat/>
    <w:uiPriority w:val="9"/>
    <w:pPr>
      <w:spacing w:after="0" w:line="271" w:lineRule="auto"/>
      <w:outlineLvl w:val="5"/>
    </w:pPr>
    <w:rPr>
      <w:rFonts w:asciiTheme="majorHAnsi" w:hAnsiTheme="majorHAnsi" w:eastAsiaTheme="majorEastAsia" w:cstheme="majorBidi"/>
      <w:b/>
      <w:bCs/>
      <w:i/>
      <w:iCs/>
      <w:color w:val="808080" w:themeColor="text1" w:themeTint="80"/>
      <w14:textFill>
        <w14:solidFill>
          <w14:schemeClr w14:val="tx1">
            <w14:lumMod w14:val="50000"/>
            <w14:lumOff w14:val="50000"/>
          </w14:schemeClr>
        </w14:solidFill>
      </w14:textFill>
    </w:rPr>
  </w:style>
  <w:style w:type="paragraph" w:styleId="8">
    <w:name w:val="heading 7"/>
    <w:basedOn w:val="1"/>
    <w:next w:val="1"/>
    <w:link w:val="36"/>
    <w:unhideWhenUsed/>
    <w:qFormat/>
    <w:uiPriority w:val="9"/>
    <w:pPr>
      <w:spacing w:after="0"/>
      <w:outlineLvl w:val="6"/>
    </w:pPr>
    <w:rPr>
      <w:rFonts w:asciiTheme="majorHAnsi" w:hAnsiTheme="majorHAnsi" w:eastAsiaTheme="majorEastAsia" w:cstheme="majorBidi"/>
      <w:i/>
      <w:iCs/>
    </w:rPr>
  </w:style>
  <w:style w:type="paragraph" w:styleId="9">
    <w:name w:val="heading 8"/>
    <w:basedOn w:val="1"/>
    <w:next w:val="1"/>
    <w:link w:val="37"/>
    <w:unhideWhenUsed/>
    <w:qFormat/>
    <w:uiPriority w:val="9"/>
    <w:pPr>
      <w:spacing w:after="0"/>
      <w:outlineLvl w:val="7"/>
    </w:pPr>
    <w:rPr>
      <w:rFonts w:asciiTheme="majorHAnsi" w:hAnsiTheme="majorHAnsi" w:eastAsiaTheme="majorEastAsia" w:cstheme="majorBidi"/>
      <w:sz w:val="20"/>
      <w:szCs w:val="20"/>
    </w:rPr>
  </w:style>
  <w:style w:type="paragraph" w:styleId="10">
    <w:name w:val="heading 9"/>
    <w:basedOn w:val="1"/>
    <w:next w:val="1"/>
    <w:link w:val="38"/>
    <w:unhideWhenUsed/>
    <w:qFormat/>
    <w:uiPriority w:val="9"/>
    <w:pPr>
      <w:spacing w:after="0"/>
      <w:outlineLvl w:val="8"/>
    </w:pPr>
    <w:rPr>
      <w:rFonts w:asciiTheme="majorHAnsi" w:hAnsiTheme="majorHAnsi" w:eastAsiaTheme="majorEastAsia" w:cstheme="majorBidi"/>
      <w:i/>
      <w:iCs/>
      <w:spacing w:val="5"/>
      <w:sz w:val="20"/>
      <w:szCs w:val="20"/>
    </w:rPr>
  </w:style>
  <w:style w:type="character" w:default="1" w:styleId="19">
    <w:name w:val="Default Paragraph Font"/>
    <w:unhideWhenUsed/>
    <w:uiPriority w:val="1"/>
  </w:style>
  <w:style w:type="table" w:default="1" w:styleId="23">
    <w:name w:val="Normal Table"/>
    <w:unhideWhenUsed/>
    <w:uiPriority w:val="99"/>
    <w:tblPr>
      <w:tblLayout w:type="fixed"/>
      <w:tblCellMar>
        <w:top w:w="0" w:type="dxa"/>
        <w:left w:w="108" w:type="dxa"/>
        <w:bottom w:w="0" w:type="dxa"/>
        <w:right w:w="108" w:type="dxa"/>
      </w:tblCellMar>
    </w:tblPr>
  </w:style>
  <w:style w:type="paragraph" w:styleId="11">
    <w:name w:val="annotation subject"/>
    <w:basedOn w:val="12"/>
    <w:next w:val="12"/>
    <w:link w:val="53"/>
    <w:unhideWhenUsed/>
    <w:qFormat/>
    <w:uiPriority w:val="99"/>
    <w:rPr>
      <w:b/>
      <w:bCs/>
    </w:rPr>
  </w:style>
  <w:style w:type="paragraph" w:styleId="12">
    <w:name w:val="annotation text"/>
    <w:basedOn w:val="1"/>
    <w:link w:val="52"/>
    <w:unhideWhenUsed/>
    <w:qFormat/>
    <w:uiPriority w:val="99"/>
  </w:style>
  <w:style w:type="paragraph" w:styleId="13">
    <w:name w:val="Body Text"/>
    <w:basedOn w:val="1"/>
    <w:qFormat/>
    <w:uiPriority w:val="1"/>
    <w:pPr>
      <w:spacing w:before="190"/>
    </w:pPr>
    <w:rPr>
      <w:rFonts w:ascii="宋体" w:hAnsi="宋体" w:eastAsia="宋体" w:cs="宋体"/>
      <w:sz w:val="32"/>
      <w:szCs w:val="32"/>
    </w:rPr>
  </w:style>
  <w:style w:type="paragraph" w:styleId="14">
    <w:name w:val="Balloon Text"/>
    <w:basedOn w:val="1"/>
    <w:link w:val="54"/>
    <w:unhideWhenUsed/>
    <w:qFormat/>
    <w:uiPriority w:val="99"/>
    <w:pPr>
      <w:spacing w:after="0" w:line="240" w:lineRule="auto"/>
    </w:pPr>
    <w:rPr>
      <w:sz w:val="18"/>
      <w:szCs w:val="18"/>
    </w:rPr>
  </w:style>
  <w:style w:type="paragraph" w:styleId="15">
    <w:name w:val="footer"/>
    <w:basedOn w:val="1"/>
    <w:link w:val="29"/>
    <w:unhideWhenUsed/>
    <w:qFormat/>
    <w:uiPriority w:val="99"/>
    <w:pPr>
      <w:tabs>
        <w:tab w:val="center" w:pos="4153"/>
        <w:tab w:val="right" w:pos="8306"/>
      </w:tabs>
      <w:snapToGrid w:val="0"/>
    </w:pPr>
    <w:rPr>
      <w:sz w:val="18"/>
      <w:szCs w:val="18"/>
    </w:rPr>
  </w:style>
  <w:style w:type="paragraph" w:styleId="16">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Subtitle"/>
    <w:basedOn w:val="1"/>
    <w:next w:val="1"/>
    <w:link w:val="40"/>
    <w:qFormat/>
    <w:uiPriority w:val="11"/>
    <w:pPr>
      <w:spacing w:after="600"/>
    </w:pPr>
    <w:rPr>
      <w:rFonts w:asciiTheme="majorHAnsi" w:hAnsiTheme="majorHAnsi" w:eastAsiaTheme="majorEastAsia" w:cstheme="majorBidi"/>
      <w:i/>
      <w:iCs/>
      <w:spacing w:val="13"/>
      <w:sz w:val="24"/>
      <w:szCs w:val="24"/>
    </w:rPr>
  </w:style>
  <w:style w:type="paragraph" w:styleId="18">
    <w:name w:val="Title"/>
    <w:basedOn w:val="1"/>
    <w:next w:val="1"/>
    <w:link w:val="39"/>
    <w:qFormat/>
    <w:uiPriority w:val="10"/>
    <w:pPr>
      <w:pBdr>
        <w:bottom w:val="single" w:color="auto" w:sz="4" w:space="1"/>
      </w:pBdr>
      <w:spacing w:line="240" w:lineRule="auto"/>
      <w:contextualSpacing/>
    </w:pPr>
    <w:rPr>
      <w:rFonts w:asciiTheme="majorHAnsi" w:hAnsiTheme="majorHAnsi" w:eastAsiaTheme="majorEastAsia" w:cstheme="majorBidi"/>
      <w:spacing w:val="5"/>
      <w:sz w:val="52"/>
      <w:szCs w:val="52"/>
    </w:rPr>
  </w:style>
  <w:style w:type="character" w:styleId="20">
    <w:name w:val="Strong"/>
    <w:qFormat/>
    <w:uiPriority w:val="22"/>
    <w:rPr>
      <w:b/>
      <w:bCs/>
    </w:rPr>
  </w:style>
  <w:style w:type="character" w:styleId="21">
    <w:name w:val="Emphasis"/>
    <w:qFormat/>
    <w:uiPriority w:val="20"/>
    <w:rPr>
      <w:b/>
      <w:bCs/>
      <w:i/>
      <w:iCs/>
      <w:spacing w:val="10"/>
      <w:shd w:val="clear" w:color="auto" w:fill="auto"/>
    </w:rPr>
  </w:style>
  <w:style w:type="character" w:styleId="22">
    <w:name w:val="annotation reference"/>
    <w:basedOn w:val="19"/>
    <w:unhideWhenUsed/>
    <w:qFormat/>
    <w:uiPriority w:val="99"/>
    <w:rPr>
      <w:sz w:val="21"/>
      <w:szCs w:val="21"/>
    </w:rPr>
  </w:style>
  <w:style w:type="table" w:customStyle="1" w:styleId="24">
    <w:name w:val="Table Normal"/>
    <w:unhideWhenUsed/>
    <w:qFormat/>
    <w:uiPriority w:val="2"/>
    <w:tblPr>
      <w:tblLayout w:type="fixed"/>
      <w:tblCellMar>
        <w:top w:w="0" w:type="dxa"/>
        <w:left w:w="0" w:type="dxa"/>
        <w:bottom w:w="0" w:type="dxa"/>
        <w:right w:w="0" w:type="dxa"/>
      </w:tblCellMar>
    </w:tblPr>
  </w:style>
  <w:style w:type="paragraph" w:customStyle="1" w:styleId="25">
    <w:name w:val="标题 11"/>
    <w:basedOn w:val="1"/>
    <w:qFormat/>
    <w:uiPriority w:val="1"/>
    <w:pPr>
      <w:ind w:left="1696" w:right="287" w:hanging="3080"/>
      <w:outlineLvl w:val="1"/>
    </w:pPr>
    <w:rPr>
      <w:rFonts w:ascii="Arial Unicode MS" w:hAnsi="Arial Unicode MS" w:eastAsia="Arial Unicode MS" w:cs="Arial Unicode MS"/>
      <w:sz w:val="44"/>
      <w:szCs w:val="44"/>
    </w:rPr>
  </w:style>
  <w:style w:type="paragraph" w:customStyle="1" w:styleId="26">
    <w:name w:val="列表段落1"/>
    <w:basedOn w:val="1"/>
    <w:qFormat/>
    <w:uiPriority w:val="34"/>
    <w:pPr>
      <w:ind w:left="720"/>
      <w:contextualSpacing/>
    </w:pPr>
  </w:style>
  <w:style w:type="paragraph" w:customStyle="1" w:styleId="27">
    <w:name w:val="Table Paragraph"/>
    <w:basedOn w:val="1"/>
    <w:qFormat/>
    <w:uiPriority w:val="1"/>
  </w:style>
  <w:style w:type="character" w:customStyle="1" w:styleId="28">
    <w:name w:val="页眉 字符"/>
    <w:basedOn w:val="19"/>
    <w:link w:val="16"/>
    <w:semiHidden/>
    <w:qFormat/>
    <w:uiPriority w:val="99"/>
    <w:rPr>
      <w:rFonts w:ascii="宋体" w:hAnsi="宋体" w:eastAsia="宋体" w:cs="宋体"/>
      <w:sz w:val="18"/>
      <w:szCs w:val="18"/>
    </w:rPr>
  </w:style>
  <w:style w:type="character" w:customStyle="1" w:styleId="29">
    <w:name w:val="页脚 字符"/>
    <w:basedOn w:val="19"/>
    <w:link w:val="15"/>
    <w:semiHidden/>
    <w:qFormat/>
    <w:uiPriority w:val="99"/>
    <w:rPr>
      <w:rFonts w:ascii="宋体" w:hAnsi="宋体" w:eastAsia="宋体" w:cs="宋体"/>
      <w:sz w:val="18"/>
      <w:szCs w:val="18"/>
    </w:rPr>
  </w:style>
  <w:style w:type="character" w:customStyle="1" w:styleId="30">
    <w:name w:val="标题 1 字符"/>
    <w:basedOn w:val="19"/>
    <w:link w:val="2"/>
    <w:qFormat/>
    <w:uiPriority w:val="9"/>
    <w:rPr>
      <w:rFonts w:asciiTheme="majorHAnsi" w:hAnsiTheme="majorHAnsi" w:eastAsiaTheme="majorEastAsia" w:cstheme="majorBidi"/>
      <w:b/>
      <w:bCs/>
      <w:sz w:val="28"/>
      <w:szCs w:val="28"/>
    </w:rPr>
  </w:style>
  <w:style w:type="character" w:customStyle="1" w:styleId="31">
    <w:name w:val="标题 2 字符"/>
    <w:basedOn w:val="19"/>
    <w:link w:val="3"/>
    <w:semiHidden/>
    <w:qFormat/>
    <w:uiPriority w:val="9"/>
    <w:rPr>
      <w:rFonts w:asciiTheme="majorHAnsi" w:hAnsiTheme="majorHAnsi" w:eastAsiaTheme="majorEastAsia" w:cstheme="majorBidi"/>
      <w:b/>
      <w:bCs/>
      <w:sz w:val="26"/>
      <w:szCs w:val="26"/>
    </w:rPr>
  </w:style>
  <w:style w:type="character" w:customStyle="1" w:styleId="32">
    <w:name w:val="标题 3 字符"/>
    <w:basedOn w:val="19"/>
    <w:link w:val="4"/>
    <w:qFormat/>
    <w:uiPriority w:val="9"/>
    <w:rPr>
      <w:rFonts w:asciiTheme="majorHAnsi" w:hAnsiTheme="majorHAnsi" w:eastAsiaTheme="majorEastAsia" w:cstheme="majorBidi"/>
      <w:b/>
      <w:bCs/>
    </w:rPr>
  </w:style>
  <w:style w:type="character" w:customStyle="1" w:styleId="33">
    <w:name w:val="标题 4 字符"/>
    <w:basedOn w:val="19"/>
    <w:link w:val="5"/>
    <w:semiHidden/>
    <w:qFormat/>
    <w:uiPriority w:val="9"/>
    <w:rPr>
      <w:rFonts w:asciiTheme="majorHAnsi" w:hAnsiTheme="majorHAnsi" w:eastAsiaTheme="majorEastAsia" w:cstheme="majorBidi"/>
      <w:b/>
      <w:bCs/>
      <w:i/>
      <w:iCs/>
    </w:rPr>
  </w:style>
  <w:style w:type="character" w:customStyle="1" w:styleId="34">
    <w:name w:val="标题 5 字符"/>
    <w:basedOn w:val="19"/>
    <w:link w:val="6"/>
    <w:semiHidden/>
    <w:qFormat/>
    <w:uiPriority w:val="9"/>
    <w:rPr>
      <w:rFonts w:asciiTheme="majorHAnsi" w:hAnsiTheme="majorHAnsi" w:eastAsiaTheme="majorEastAsia" w:cstheme="majorBidi"/>
      <w:b/>
      <w:bCs/>
      <w:color w:val="808080" w:themeColor="text1" w:themeTint="80"/>
      <w14:textFill>
        <w14:solidFill>
          <w14:schemeClr w14:val="tx1">
            <w14:lumMod w14:val="50000"/>
            <w14:lumOff w14:val="50000"/>
          </w14:schemeClr>
        </w14:solidFill>
      </w14:textFill>
    </w:rPr>
  </w:style>
  <w:style w:type="character" w:customStyle="1" w:styleId="35">
    <w:name w:val="标题 6 字符"/>
    <w:basedOn w:val="19"/>
    <w:link w:val="7"/>
    <w:semiHidden/>
    <w:qFormat/>
    <w:uiPriority w:val="9"/>
    <w:rPr>
      <w:rFonts w:asciiTheme="majorHAnsi" w:hAnsiTheme="majorHAnsi" w:eastAsiaTheme="majorEastAsia" w:cstheme="majorBidi"/>
      <w:b/>
      <w:bCs/>
      <w:i/>
      <w:iCs/>
      <w:color w:val="808080" w:themeColor="text1" w:themeTint="80"/>
      <w14:textFill>
        <w14:solidFill>
          <w14:schemeClr w14:val="tx1">
            <w14:lumMod w14:val="50000"/>
            <w14:lumOff w14:val="50000"/>
          </w14:schemeClr>
        </w14:solidFill>
      </w14:textFill>
    </w:rPr>
  </w:style>
  <w:style w:type="character" w:customStyle="1" w:styleId="36">
    <w:name w:val="标题 7 字符"/>
    <w:basedOn w:val="19"/>
    <w:link w:val="8"/>
    <w:semiHidden/>
    <w:qFormat/>
    <w:uiPriority w:val="9"/>
    <w:rPr>
      <w:rFonts w:asciiTheme="majorHAnsi" w:hAnsiTheme="majorHAnsi" w:eastAsiaTheme="majorEastAsia" w:cstheme="majorBidi"/>
      <w:i/>
      <w:iCs/>
    </w:rPr>
  </w:style>
  <w:style w:type="character" w:customStyle="1" w:styleId="37">
    <w:name w:val="标题 8 字符"/>
    <w:basedOn w:val="19"/>
    <w:link w:val="9"/>
    <w:semiHidden/>
    <w:qFormat/>
    <w:uiPriority w:val="9"/>
    <w:rPr>
      <w:rFonts w:asciiTheme="majorHAnsi" w:hAnsiTheme="majorHAnsi" w:eastAsiaTheme="majorEastAsia" w:cstheme="majorBidi"/>
      <w:sz w:val="20"/>
      <w:szCs w:val="20"/>
    </w:rPr>
  </w:style>
  <w:style w:type="character" w:customStyle="1" w:styleId="38">
    <w:name w:val="标题 9 字符"/>
    <w:basedOn w:val="19"/>
    <w:link w:val="10"/>
    <w:semiHidden/>
    <w:qFormat/>
    <w:uiPriority w:val="9"/>
    <w:rPr>
      <w:rFonts w:asciiTheme="majorHAnsi" w:hAnsiTheme="majorHAnsi" w:eastAsiaTheme="majorEastAsia" w:cstheme="majorBidi"/>
      <w:i/>
      <w:iCs/>
      <w:spacing w:val="5"/>
      <w:sz w:val="20"/>
      <w:szCs w:val="20"/>
    </w:rPr>
  </w:style>
  <w:style w:type="character" w:customStyle="1" w:styleId="39">
    <w:name w:val="标题 字符"/>
    <w:basedOn w:val="19"/>
    <w:link w:val="18"/>
    <w:qFormat/>
    <w:uiPriority w:val="10"/>
    <w:rPr>
      <w:rFonts w:asciiTheme="majorHAnsi" w:hAnsiTheme="majorHAnsi" w:eastAsiaTheme="majorEastAsia" w:cstheme="majorBidi"/>
      <w:spacing w:val="5"/>
      <w:sz w:val="52"/>
      <w:szCs w:val="52"/>
    </w:rPr>
  </w:style>
  <w:style w:type="character" w:customStyle="1" w:styleId="40">
    <w:name w:val="副标题 字符"/>
    <w:basedOn w:val="19"/>
    <w:link w:val="17"/>
    <w:qFormat/>
    <w:uiPriority w:val="11"/>
    <w:rPr>
      <w:rFonts w:asciiTheme="majorHAnsi" w:hAnsiTheme="majorHAnsi" w:eastAsiaTheme="majorEastAsia" w:cstheme="majorBidi"/>
      <w:i/>
      <w:iCs/>
      <w:spacing w:val="13"/>
      <w:sz w:val="24"/>
      <w:szCs w:val="24"/>
    </w:rPr>
  </w:style>
  <w:style w:type="paragraph" w:customStyle="1" w:styleId="41">
    <w:name w:val="无间隔1"/>
    <w:basedOn w:val="1"/>
    <w:qFormat/>
    <w:uiPriority w:val="1"/>
    <w:pPr>
      <w:spacing w:after="0" w:line="240" w:lineRule="auto"/>
    </w:pPr>
  </w:style>
  <w:style w:type="paragraph" w:customStyle="1" w:styleId="42">
    <w:name w:val="引用1"/>
    <w:basedOn w:val="1"/>
    <w:next w:val="1"/>
    <w:link w:val="43"/>
    <w:qFormat/>
    <w:uiPriority w:val="29"/>
    <w:pPr>
      <w:spacing w:before="200" w:after="0"/>
      <w:ind w:left="360" w:right="360"/>
    </w:pPr>
    <w:rPr>
      <w:i/>
      <w:iCs/>
    </w:rPr>
  </w:style>
  <w:style w:type="character" w:customStyle="1" w:styleId="43">
    <w:name w:val="引用 Char"/>
    <w:basedOn w:val="19"/>
    <w:link w:val="42"/>
    <w:qFormat/>
    <w:uiPriority w:val="29"/>
    <w:rPr>
      <w:i/>
      <w:iCs/>
    </w:rPr>
  </w:style>
  <w:style w:type="paragraph" w:customStyle="1" w:styleId="44">
    <w:name w:val="明显引用1"/>
    <w:basedOn w:val="1"/>
    <w:next w:val="1"/>
    <w:link w:val="45"/>
    <w:qFormat/>
    <w:uiPriority w:val="30"/>
    <w:pPr>
      <w:pBdr>
        <w:bottom w:val="single" w:color="auto" w:sz="4" w:space="1"/>
      </w:pBdr>
      <w:spacing w:before="200" w:after="280"/>
      <w:ind w:left="1008" w:right="1152"/>
      <w:jc w:val="both"/>
    </w:pPr>
    <w:rPr>
      <w:b/>
      <w:bCs/>
      <w:i/>
      <w:iCs/>
    </w:rPr>
  </w:style>
  <w:style w:type="character" w:customStyle="1" w:styleId="45">
    <w:name w:val="明显引用 Char"/>
    <w:basedOn w:val="19"/>
    <w:link w:val="44"/>
    <w:qFormat/>
    <w:uiPriority w:val="30"/>
    <w:rPr>
      <w:b/>
      <w:bCs/>
      <w:i/>
      <w:iCs/>
    </w:rPr>
  </w:style>
  <w:style w:type="character" w:customStyle="1" w:styleId="46">
    <w:name w:val="不明显强调1"/>
    <w:qFormat/>
    <w:uiPriority w:val="19"/>
    <w:rPr>
      <w:i/>
      <w:iCs/>
    </w:rPr>
  </w:style>
  <w:style w:type="character" w:customStyle="1" w:styleId="47">
    <w:name w:val="明显强调1"/>
    <w:qFormat/>
    <w:uiPriority w:val="21"/>
    <w:rPr>
      <w:b/>
      <w:bCs/>
    </w:rPr>
  </w:style>
  <w:style w:type="character" w:customStyle="1" w:styleId="48">
    <w:name w:val="不明显参考1"/>
    <w:qFormat/>
    <w:uiPriority w:val="31"/>
    <w:rPr>
      <w:smallCaps/>
    </w:rPr>
  </w:style>
  <w:style w:type="character" w:customStyle="1" w:styleId="49">
    <w:name w:val="明显参考1"/>
    <w:qFormat/>
    <w:uiPriority w:val="32"/>
    <w:rPr>
      <w:smallCaps/>
      <w:spacing w:val="5"/>
      <w:u w:val="single"/>
    </w:rPr>
  </w:style>
  <w:style w:type="character" w:customStyle="1" w:styleId="50">
    <w:name w:val="书籍标题1"/>
    <w:qFormat/>
    <w:uiPriority w:val="33"/>
    <w:rPr>
      <w:i/>
      <w:iCs/>
      <w:smallCaps/>
      <w:spacing w:val="5"/>
    </w:rPr>
  </w:style>
  <w:style w:type="paragraph" w:customStyle="1" w:styleId="51">
    <w:name w:val="TOC 标题1"/>
    <w:basedOn w:val="2"/>
    <w:next w:val="1"/>
    <w:unhideWhenUsed/>
    <w:qFormat/>
    <w:uiPriority w:val="39"/>
    <w:pPr>
      <w:outlineLvl w:val="9"/>
    </w:pPr>
  </w:style>
  <w:style w:type="character" w:customStyle="1" w:styleId="52">
    <w:name w:val="批注文字 字符"/>
    <w:basedOn w:val="19"/>
    <w:link w:val="12"/>
    <w:semiHidden/>
    <w:qFormat/>
    <w:uiPriority w:val="99"/>
    <w:rPr>
      <w:sz w:val="22"/>
      <w:szCs w:val="22"/>
      <w:lang w:eastAsia="en-US" w:bidi="en-US"/>
    </w:rPr>
  </w:style>
  <w:style w:type="character" w:customStyle="1" w:styleId="53">
    <w:name w:val="批注主题 字符"/>
    <w:basedOn w:val="52"/>
    <w:link w:val="11"/>
    <w:semiHidden/>
    <w:qFormat/>
    <w:uiPriority w:val="99"/>
    <w:rPr>
      <w:b/>
      <w:bCs/>
      <w:sz w:val="22"/>
      <w:szCs w:val="22"/>
      <w:lang w:eastAsia="en-US" w:bidi="en-US"/>
    </w:rPr>
  </w:style>
  <w:style w:type="character" w:customStyle="1" w:styleId="54">
    <w:name w:val="批注框文本 字符"/>
    <w:basedOn w:val="19"/>
    <w:link w:val="14"/>
    <w:semiHidden/>
    <w:qFormat/>
    <w:uiPriority w:val="99"/>
    <w:rPr>
      <w:sz w:val="18"/>
      <w:szCs w:val="18"/>
      <w:lang w:eastAsia="en-US" w:bidi="en-US"/>
    </w:rPr>
  </w:style>
  <w:style w:type="paragraph" w:customStyle="1" w:styleId="55">
    <w:name w:val="列出段落1"/>
    <w:basedOn w:val="1"/>
    <w:qFormat/>
    <w:uiPriority w:val="34"/>
    <w:pPr>
      <w:widowControl w:val="0"/>
      <w:spacing w:after="0" w:line="240" w:lineRule="auto"/>
      <w:ind w:firstLine="420" w:firstLineChars="200"/>
      <w:jc w:val="both"/>
    </w:pPr>
    <w:rPr>
      <w:kern w:val="2"/>
      <w:sz w:val="21"/>
      <w:szCs w:val="24"/>
      <w:lang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9554EC-E3F6-41EB-9507-82B95465A4A8}">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314</Words>
  <Characters>1791</Characters>
  <Lines>14</Lines>
  <Paragraphs>4</Paragraphs>
  <ScaleCrop>false</ScaleCrop>
  <LinksUpToDate>false</LinksUpToDate>
  <CharactersWithSpaces>2101</CharactersWithSpaces>
  <Application>WPS Office_10.1.0.6390_F1E327BC-269C-435d-A152-05C5408002CA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2019-04-08T02:57:00Z</dcterms:created>
  <dc:creator>Admin</dc:creator>
  <cp:lastModifiedBy>Administrator</cp:lastModifiedBy>
  <cp:lastPrinted>2019-04-10T01:24:00Z</cp:lastPrinted>
  <dcterms:modified xsi:type="dcterms:W3CDTF">2019-04-15T11:21:04Z</dcterms:modified>
  <dc:title>&lt;4D6963726F736F667420576F7264202D20D5E3BDADB4F3D1A7D3A1B7A2A1B6D5E3BDADB4F3D1A7B1BEBFC6D1A7C9FAC8D9D3FEB3C6BAC5BCB0BDB1D1A7BDF0C6C0B6A8B9DCC0EDB0ECB7A8A1B7B5C4CDA8D6AA&gt;</dc:title>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2017-08-23T00:00:00Z</vt:filetime>
  </property>
  <property fmtid="{D5CDD505-2E9C-101B-9397-08002B2CF9AE}" pid="3" name="Creator">
    <vt:lpwstr>PScript5.dll Version 5.2.2</vt:lpwstr>
  </property>
  <property fmtid="{D5CDD505-2E9C-101B-9397-08002B2CF9AE}" pid="4" name="LastSaved">
    <vt:filetime>2018-11-19T00:00:00Z</vt:filetime>
  </property>
  <property fmtid="{D5CDD505-2E9C-101B-9397-08002B2CF9AE}" pid="5" name="KSOProductBuildVer">
    <vt:lpwstr>2052-10.1.0.6390</vt:lpwstr>
  </property>
</Properties>
</file>